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p>
    <w:p>
      <w:pPr>
        <w:pStyle w:val="BodyText"/>
      </w:pPr>
      <w:r>
        <w:t xml:space="preserve">[Date]</w:t>
      </w:r>
    </w:p>
    <w:p>
      <w:pPr>
        <w:pStyle w:val="BodyText"/>
      </w:pPr>
      <w:r>
        <w:t xml:space="preserve">The Editor</w:t>
      </w:r>
      <w:r>
        <w:br/>
      </w:r>
      <w:r>
        <w:rPr>
          <w:i/>
          <w:iCs/>
        </w:rPr>
        <w:t xml:space="preserve">BMC Genomics</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BMC Genomics</w:t>
      </w:r>
      <w:r>
        <w:t xml:space="preserve">. I suggest the</w:t>
      </w:r>
      <w:r>
        <w:t xml:space="preserve"> </w:t>
      </w:r>
      <w:r>
        <w:rPr>
          <w:b/>
          <w:bCs/>
        </w:rPr>
        <w:t xml:space="preserve">Transcriptomic Methods</w:t>
      </w:r>
      <w:r>
        <w:t xml:space="preserve"> </w:t>
      </w:r>
      <w:r>
        <w:t xml:space="preserve">section.</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BMC Genomics</w:t>
      </w:r>
      <w:r>
        <w:t xml:space="preserve"> </w:t>
      </w:r>
      <w:r>
        <w:t xml:space="preserve">and its Transcriptomic Methods section: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as BMC policy requires. Related work by the author on static gene embeddings, attention, residual-stream geometry, the geometry and topology of hidden states and sparse-autoencoder features is cited in the manuscript (six papers).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that the earlier Elsevier submission was not made or has been withdrawn.]</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2026-10-03T10:38:19Z</dcterms:created>
  <dcterms:modified xsi:type="dcterms:W3CDTF">2026-10-03T10:38:19Z</dcterms:modified>
</cp:coreProperties>
</file>

<file path=docProps/custom.xml><?xml version="1.0" encoding="utf-8"?>
<Properties xmlns="http://schemas.openxmlformats.org/officeDocument/2006/custom-properties" xmlns:vt="http://schemas.openxmlformats.org/officeDocument/2006/docPropsVTypes"/>
</file>