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Single-cell foundation models represent genes in context, but the information is co-expression</w:t>
      </w:r>
    </w:p>
    <w:p>
      <w:r>
        <w:t xml:space="preserve"/>
      </w:r>
    </w:p>
    <w:p>
      <w:pPr>
        <w:spacing w:after="60"/>
        <w:jc w:val="center"/>
      </w:pPr>
      <w:r>
        <w:rPr>
          <w:sz w:val="26"/>
          <w:szCs w:val="26"/>
        </w:rPr>
        <w:t xml:space="preserve">Ihor Kendiukhov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Biodyn-AI</w:t>
      </w:r>
    </w:p>
    <w:p>
      <w:pPr>
        <w:spacing w:after="240"/>
        <w:jc w:val="center"/>
      </w:pPr>
      <w:r>
        <w:rPr>
          <w:i/>
          <w:iCs/>
          <w:color w:val="888888"/>
          <w:sz w:val="20"/>
          <w:szCs w:val="20"/>
        </w:rPr>
        <w:t xml:space="preserve">[Affiliation address — please complete: department, institution, city, country]</w:t>
      </w:r>
    </w:p>
    <w:p>
      <w:r>
        <w:t xml:space="preserve"/>
      </w:r>
    </w:p>
    <w:p>
      <w:r>
        <w:t xml:space="preserve"/>
      </w:r>
    </w:p>
    <w:p>
      <w:pPr>
        <w:pBdr>
          <w:top w:val="single" w:color="999999" w:sz="6" w:space="8"/>
        </w:pBdr>
        <w:spacing w:after="120" w:before="120"/>
      </w:pPr>
      <w:r>
        <w:rPr>
          <w:b/>
          <w:bCs/>
        </w:rPr>
        <w:t xml:space="preserve">Corresponding author</w:t>
      </w:r>
    </w:p>
    <w:p>
      <w:pPr>
        <w:spacing w:after="40"/>
      </w:pPr>
      <w:r>
        <w:t xml:space="preserve">Ihor Kendiukhov</w:t>
      </w:r>
    </w:p>
    <w:p>
      <w:pPr>
        <w:spacing w:after="40"/>
      </w:pPr>
      <w:r>
        <w:rPr>
          <w:b/>
          <w:bCs/>
        </w:rPr>
        <w:t xml:space="preserve">Email: </w:t>
      </w:r>
      <w:r>
        <w:t xml:space="preserve">kenduhov.ig@gmail.com</w:t>
      </w:r>
    </w:p>
    <w:p>
      <w:pPr>
        <w:spacing w:after="40"/>
      </w:pPr>
      <w:r>
        <w:rPr>
          <w:b/>
          <w:bCs/>
        </w:rPr>
        <w:t xml:space="preserve">ORCID: </w:t>
      </w:r>
      <w:r>
        <w:rPr>
          <w:i/>
          <w:iCs/>
          <w:color w:val="888888"/>
        </w:rPr>
        <w:t xml:space="preserve">[ORCID iD — please complete]</w:t>
      </w:r>
    </w:p>
    <w:p>
      <w:pPr>
        <w:spacing w:after="40"/>
      </w:pPr>
      <w:r>
        <w:rPr>
          <w:b/>
          <w:bCs/>
        </w:rPr>
        <w:t xml:space="preserve">Postal address: </w:t>
      </w:r>
      <w:r>
        <w:rPr>
          <w:i/>
          <w:iCs/>
          <w:color w:val="888888"/>
        </w:rPr>
        <w:t xml:space="preserve">[please complete]</w:t>
      </w:r>
    </w:p>
    <w:p>
      <w:r>
        <w:t xml:space="preserve"/>
      </w:r>
    </w:p>
    <w:p>
      <w:r>
        <w:t xml:space="preserve"/>
      </w:r>
    </w:p>
    <w:p>
      <w:pPr>
        <w:spacing w:after="60" w:before="120"/>
      </w:pPr>
      <w:r>
        <w:rPr>
          <w:b/>
          <w:bCs/>
        </w:rPr>
        <w:t xml:space="preserve">Declarations</w:t>
      </w:r>
    </w:p>
    <w:p>
      <w:pPr>
        <w:spacing w:after="40"/>
      </w:pPr>
      <w:r>
        <w:t xml:space="preserve">Declaration of competing interest: The author declares that he has no known competing financial interests or personal relationships that could have appeared to influence the work reported in this paper.</w:t>
      </w:r>
    </w:p>
    <w:p>
      <w:pPr>
        <w:spacing w:after="40"/>
      </w:pPr>
      <w:r>
        <w:t xml:space="preserve">Funding: This research did not receive any specific grant from funding agencies in the public, commercial, or not-for-profit sectors.</w:t>
      </w:r>
    </w:p>
    <w:p>
      <w:pPr>
        <w:spacing w:after="40"/>
      </w:pPr>
      <w:r>
        <w:t xml:space="preserve">Data and code availability: All analysis code and intermediate result artefacts are openly available at https://github.com/Biodyn-AI/gene-context.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Single-cell foundation models represent genes in context, but the information is co-expression</dc:title>
  <dc:creator>Ihor Kendiukhov</dc:creator>
  <cp:lastModifiedBy>Un-named</cp:lastModifiedBy>
  <cp:revision>1</cp:revision>
  <dcterms:created xsi:type="dcterms:W3CDTF">2026-08-19T12:23:50.275Z</dcterms:created>
  <dcterms:modified xsi:type="dcterms:W3CDTF">2026-08-19T12:23:50.275Z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