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p>
    <w:p>
      <w:pPr>
        <w:pStyle w:val="BodyText"/>
      </w:pPr>
      <w:r>
        <w:t xml:space="preserve">[Date]</w:t>
      </w:r>
    </w:p>
    <w:p>
      <w:pPr>
        <w:pStyle w:val="BodyText"/>
      </w:pPr>
      <w:r>
        <w:t xml:space="preserve">The Editor</w:t>
      </w:r>
      <w:r>
        <w:br/>
      </w:r>
      <w:r>
        <w:rPr>
          <w:i/>
          <w:iCs/>
        </w:rPr>
        <w:t xml:space="preserve">BMC Genomics</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BMC Genomics</w:t>
      </w:r>
      <w:r>
        <w:t xml:space="preserve">. I suggest the</w:t>
      </w:r>
      <w:r>
        <w:t xml:space="preserve"> </w:t>
      </w:r>
      <w:r>
        <w:rPr>
          <w:b/>
          <w:bCs/>
        </w:rPr>
        <w:t xml:space="preserve">Transcriptomic Methods</w:t>
      </w:r>
      <w:r>
        <w:t xml:space="preserve"> </w:t>
      </w:r>
      <w:r>
        <w:t xml:space="preserve">section.</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tells us anything about a gene’s role in a particular cell type,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w:t>
      </w:r>
      <w:r>
        <w:t xml:space="preserve"> </w:t>
      </w:r>
      <w:r>
        <w:t xml:space="preserve">In MaxToki-217M, a gene’s representation changes with cell type in a gene-specific way that reproduces across independent cells (cosine 0.76 against 0.001 for a shuffled control), is strongest in the first two layers, is not explained by the gene’s rank in the cell, and replicates on an independent bone-marrow dataset. Training strengthens it (an untrained model of the same architecture keeps about 60% of the effect but only about a third of its functional organisation), and it is weakly aligned with the model’s objective: genes that change more with context gain more from real context in next-gene prediction. All four models tested (MaxToki-217M and -1B, scGPT, STATE) contextualise genes strongly.</w:t>
      </w:r>
    </w:p>
    <w:p>
      <w:pPr>
        <w:pStyle w:val="Compact"/>
        <w:numPr>
          <w:ilvl w:val="0"/>
          <w:numId w:val="1001"/>
        </w:numPr>
      </w:pPr>
      <w:r>
        <w:rPr>
          <w:b/>
          <w:bCs/>
        </w:rPr>
        <w:t xml:space="preserve">Nothing context-specific beyond co-expression.</w:t>
      </w:r>
      <w:r>
        <w:t xml:space="preserve"> </w:t>
      </w:r>
      <w:r>
        <w:t xml:space="preserve">The context changes follow functional axes, but gene sets matched on size and co-expression give similar organisation (p = 0.08–0.38). Two direct tests for context-specific gene function, run in MaxToki-217M, are negative; the only signal beyond co-expression is a small, static closeness of transcription factors to their curated targets. Steering shows that the model reads one functional direction (nuclear versus surface genes); a second direction has no consistent effect and a third acts in reverse. Reading a gene’s changed role in a new cell type is therefore not reachable with the model tested.</w:t>
      </w:r>
    </w:p>
    <w:p>
      <w:pPr>
        <w:pStyle w:val="Compact"/>
        <w:numPr>
          <w:ilvl w:val="0"/>
          <w:numId w:val="1001"/>
        </w:numPr>
      </w:pPr>
      <w:r>
        <w:rPr>
          <w:b/>
          <w:bCs/>
        </w:rPr>
        <w:t xml:space="preserve">A model metric.</w:t>
      </w:r>
      <w:r>
        <w:t xml:space="preserve"> </w:t>
      </w:r>
      <w:r>
        <w:t xml:space="preserve">The functional organisation of contextual change differs sharply between architectures (z = 8.1–18.4 for MaxToki, 3.2 for scGPT, 1.1 for STATE), while all models contextualise genes strongly.</w:t>
      </w:r>
    </w:p>
    <w:p>
      <w:pPr>
        <w:pStyle w:val="FirstParagraph"/>
      </w:pPr>
      <w:r>
        <w:t xml:space="preserve">I believe the work fits</w:t>
      </w:r>
      <w:r>
        <w:t xml:space="preserve"> </w:t>
      </w:r>
      <w:r>
        <w:rPr>
          <w:i/>
          <w:iCs/>
        </w:rPr>
        <w:t xml:space="preserve">BMC Genomics</w:t>
      </w:r>
      <w:r>
        <w:t xml:space="preserve"> </w:t>
      </w:r>
      <w:r>
        <w:t xml:space="preserve">and its Transcriptomic Methods section: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as BMC policy requires. Related work by the author on static gene embeddings, attention, residual-stream geometry, the geometry and topology of hidden states, a haematopoietic manifold in scGPT, sparse-autoencoder features and scaling laws is cited in the manuscript (eight papers). Four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w:t>
      </w:r>
      <w:r>
        <w:t xml:space="preserve"> </w:t>
      </w:r>
      <w:r>
        <w:rPr>
          <w:i/>
          <w:iCs/>
        </w:rPr>
        <w:t xml:space="preserve">PLOS One</w:t>
      </w:r>
      <w:r>
        <w:t xml:space="preserve"> </w:t>
      </w:r>
      <w:r>
        <w:t xml:space="preserve">(doi:10.1371/journal.pone.0344826) and</w:t>
      </w:r>
      <w:r>
        <w:t xml:space="preserve"> </w:t>
      </w:r>
      <w:r>
        <w:rPr>
          <w:i/>
          <w:iCs/>
        </w:rPr>
        <w:t xml:space="preserve">Transactions on Machine Learning Research</w:t>
      </w:r>
      <w:r>
        <w:t xml:space="preserve">; the other four are preprints, and the sparse-autoencoder atlas paper also has a Research Square preprint (doi:10.21203/rs.3.rs-9082479/v1). None of them reports the contextual-representation analyses presented here. [Author: state the current status of the sparse-autoencoder atlas paper, and confirm that this manuscript has not been posted as a preprint and that the earlier Elsevier submission was not made or has been withdrawn.]</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2026-10-02T01:49:52Z</dcterms:created>
  <dcterms:modified xsi:type="dcterms:W3CDTF">2026-10-02T01:49:52Z</dcterms:modified>
</cp:coreProperties>
</file>

<file path=docProps/custom.xml><?xml version="1.0" encoding="utf-8"?>
<Properties xmlns="http://schemas.openxmlformats.org/officeDocument/2006/custom-properties" xmlns:vt="http://schemas.openxmlformats.org/officeDocument/2006/docPropsVTypes"/>
</file>