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line="276"/>
      </w:pPr>
      <w:r>
        <w:rPr>
          <w:b/>
          <w:bCs/>
        </w:rPr>
        <w:t xml:space="preserve">Ihor Kendiukhov</w:t>
      </w:r>
    </w:p>
    <w:p>
      <w:pPr>
        <w:spacing w:after="160" w:line="276"/>
      </w:pPr>
      <w:r>
        <w:t xml:space="preserve">Biodyn-AI</w:t>
      </w:r>
    </w:p>
    <w:p>
      <w:pPr>
        <w:spacing w:after="160" w:line="276"/>
      </w:pPr>
      <w:r>
        <w:rPr>
          <w:i/>
          <w:iCs/>
        </w:rPr>
        <w:t xml:space="preserve">[Affiliation address — please complete]</w:t>
      </w:r>
    </w:p>
    <w:p>
      <w:pPr>
        <w:spacing w:after="160" w:line="276"/>
      </w:pPr>
      <w:r>
        <w:t xml:space="preserve">kenduhov.ig@gmail.com</w:t>
      </w:r>
    </w:p>
    <w:p>
      <w:r>
        <w:t xml:space="preserve"/>
      </w:r>
    </w:p>
    <w:p>
      <w:pPr>
        <w:spacing w:after="160" w:line="276"/>
      </w:pPr>
      <w:r>
        <w:rPr>
          <w:i/>
          <w:iCs/>
        </w:rPr>
        <w:t xml:space="preserve">[Date]</w:t>
      </w:r>
    </w:p>
    <w:p>
      <w:r>
        <w:t xml:space="preserve"/>
      </w:r>
    </w:p>
    <w:p>
      <w:pPr>
        <w:spacing w:after="160" w:line="276"/>
      </w:pPr>
      <w:r>
        <w:rPr>
          <w:b/>
          <w:bCs/>
        </w:rPr>
        <w:t xml:space="preserve">To the Editor,</w:t>
      </w:r>
    </w:p>
    <w:p>
      <w:pPr>
        <w:spacing w:after="160" w:line="276"/>
      </w:pPr>
      <w:r>
        <w:rPr>
          <w:i/>
          <w:iCs/>
        </w:rPr>
        <w:t xml:space="preserve">Computational Biology and Chemistry</w:t>
      </w:r>
    </w:p>
    <w:p>
      <w:r>
        <w:t xml:space="preserve"/>
      </w:r>
    </w:p>
    <w:p>
      <w:pPr>
        <w:spacing w:after="160" w:line="276"/>
      </w:pPr>
      <w:r>
        <w:t xml:space="preserve">Dear Editor,</w:t>
      </w:r>
    </w:p>
    <w:p>
      <w:pPr>
        <w:spacing w:after="160" w:line="276"/>
      </w:pPr>
      <w:r>
        <w:t xml:space="preserve">I am pleased to submit the manuscript </w:t>
      </w:r>
      <w:r>
        <w:rPr>
          <w:b/>
          <w:bCs/>
        </w:rPr>
        <w:t xml:space="preserve">“Single-cell foundation models represent genes in context, but the information is co-expression”</w:t>
      </w:r>
      <w:r>
        <w:t xml:space="preserve"> for consideration as a research article in </w:t>
      </w:r>
      <w:r>
        <w:rPr>
          <w:i/>
          <w:iCs/>
        </w:rPr>
        <w:t xml:space="preserve">Computational Biology and Chemistry</w:t>
      </w:r>
      <w:r>
        <w:t xml:space="preserve">.</w:t>
      </w:r>
    </w:p>
    <w:p>
      <w:pPr>
        <w:spacing w:after="160" w:line="276"/>
      </w:pPr>
      <w:r>
        <w:t xml:space="preserve">Single-cell foundation models (SCFMs) such as Geneformer, scGPT and the recent MaxToki are increasingly used to produce gene and cell representations, yet what their contextual gene representations — a gene’s vector inside a particular cell — actually encode has not been characterised. This manuscript provides that characterisation, and does so with the matched-null rigour that the field’s recent evaluation literature has shown to be necessary.</w:t>
      </w:r>
    </w:p>
    <w:p>
      <w:pPr>
        <w:spacing w:after="160" w:line="276"/>
      </w:pPr>
      <w:r>
        <w:rPr>
          <w:b/>
          <w:bCs/>
        </w:rPr>
        <w:t xml:space="preserve">The main contributions are:</w:t>
      </w:r>
    </w:p>
    <w:p>
      <w:pPr>
        <w:spacing w:after="160" w:line="276"/>
      </w:pPr>
      <w:r>
        <w:t xml:space="preserve">1. A systematic demonstration that an SCFM reshapes a gene’s representation by its cellular context in a way that is gene-specific, reproducible across independent cells, not an artefact of token rank, replicable on an independent dataset, causally used by the model, learned rather than architectural, and increasing with model scale — the single-cell analogue of the </w:t>
      </w:r>
      <w:r>
        <w:rPr>
          <w:i/>
          <w:iCs/>
        </w:rPr>
        <w:t xml:space="preserve">how contextual are contextualised representations</w:t>
      </w:r>
      <w:r>
        <w:t xml:space="preserve"> question from language-model interpretability.</w:t>
      </w:r>
    </w:p>
    <w:p>
      <w:pPr>
        <w:spacing w:after="160" w:line="276"/>
      </w:pPr>
      <w:r>
        <w:t xml:space="preserve">2. A usable model-characterisation metric: contextualisation strength and its functional organisation differ by an order of magnitude across tokenisation schemes (rank-based vs. value-binned vs. protein-sequence-token), distinguishing architectures in a way a downstream task benchmark does not.</w:t>
      </w:r>
    </w:p>
    <w:p>
      <w:pPr>
        <w:spacing w:after="160" w:line="276"/>
      </w:pPr>
      <w:r>
        <w:t xml:space="preserve">3. A carefully controlled negative result: against size-matched co-expression nulls, the functional organisation of that contextualisation does not robustly exceed co-expression, and two independent probes for </w:t>
      </w:r>
      <w:r>
        <w:rPr>
          <w:i/>
          <w:iCs/>
        </w:rPr>
        <w:t xml:space="preserve">novel</w:t>
      </w:r>
      <w:r>
        <w:t xml:space="preserve"> context-dependent gene function are null. This places a precise, reproducible boundary on what expression-only SCFMs can offer as hypothesis-generation tools, and predicts where the headroom lies (multi-omic or sequence-aware models).</w:t>
      </w:r>
    </w:p>
    <w:p>
      <w:pPr>
        <w:spacing w:after="160" w:line="276"/>
      </w:pPr>
      <w:r>
        <w:t xml:space="preserve">We believe the work fits the scope of </w:t>
      </w:r>
      <w:r>
        <w:rPr>
          <w:i/>
          <w:iCs/>
        </w:rPr>
        <w:t xml:space="preserve">Computational Biology and Chemistry</w:t>
      </w:r>
      <w:r>
        <w:t xml:space="preserve"> at the intersection of machine learning and computational biology, and will be of interest to readers building or evaluating single-cell foundation models. The study uses only publicly available models and data; all code and intermediate result artefacts are openly available at https://github.com/Biodyn-AI/gene-context.</w:t>
      </w:r>
    </w:p>
    <w:p>
      <w:pPr>
        <w:spacing w:after="160" w:line="276"/>
      </w:pPr>
      <w:r>
        <w:t xml:space="preserve">This manuscript is original, has not been published previously, and is not under consideration for publication elsewhere. The author declares no competing interests.</w:t>
      </w:r>
    </w:p>
    <w:p>
      <w:pPr>
        <w:spacing w:after="160" w:line="276"/>
      </w:pPr>
      <w:r>
        <w:t xml:space="preserve">Thank you for your consideration.</w:t>
      </w:r>
    </w:p>
    <w:p>
      <w:r>
        <w:t xml:space="preserve"/>
      </w:r>
    </w:p>
    <w:p>
      <w:pPr>
        <w:spacing w:after="160" w:line="276"/>
      </w:pPr>
      <w:r>
        <w:t xml:space="preserve">Sincerely,</w:t>
      </w:r>
    </w:p>
    <w:p>
      <w:pPr>
        <w:spacing w:after="160" w:line="276"/>
      </w:pPr>
      <w:r>
        <w:rPr>
          <w:b/>
          <w:bCs/>
        </w:rPr>
        <w:t xml:space="preserve">Ihor Kendiukhov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creator>Ihor Kendiukhov</dc:creator>
  <cp:lastModifiedBy>Un-named</cp:lastModifiedBy>
  <cp:revision>1</cp:revision>
  <dcterms:created xsi:type="dcterms:W3CDTF">2026-08-19T12:26:46.672Z</dcterms:created>
  <dcterms:modified xsi:type="dcterms:W3CDTF">2026-08-19T12:26:46.677Z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