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9675fa6ef698772265ebcf97431a94537d6b5cd"/>
    <w:p>
      <w:pPr>
        <w:pStyle w:val="Heading1"/>
      </w:pPr>
      <w:r>
        <w:t xml:space="preserve">Response to reviewers —</w:t>
      </w:r>
      <w:r>
        <w:t xml:space="preserve"> </w:t>
      </w:r>
      <w:r>
        <w:rPr>
          <w:iCs/>
          <w:i/>
        </w:rPr>
        <w:t xml:space="preserve">Five Axes of Fragility</w:t>
      </w:r>
    </w:p>
    <w:p>
      <w:pPr>
        <w:pStyle w:val="FirstParagraph"/>
      </w:pPr>
      <w:r>
        <w:rPr>
          <w:bCs/>
          <w:b/>
        </w:rPr>
        <w:t xml:space="preserve">Manuscript ID:</w:t>
      </w:r>
      <w:r>
        <w:t xml:space="preserve"> </w:t>
      </w:r>
      <w:r>
        <w:t xml:space="preserve">BIOINF-2026-0446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Five Axes of Fragility: A Systematic Robustness Audit of Gene-Regulatory-Network Inference from Single-Cell Foundation Models</w:t>
      </w:r>
      <w:r>
        <w:t xml:space="preserve"> </w:t>
      </w:r>
      <w:r>
        <w:rPr>
          <w:bCs/>
          <w:b/>
        </w:rPr>
        <w:t xml:space="preserve">Decision date:</w:t>
      </w:r>
      <w:r>
        <w:t xml:space="preserve"> </w:t>
      </w:r>
      <w:r>
        <w:t xml:space="preserve">22-Apr-2026 (major revision)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Ihor Kendiukhov (kenduhov.ig@gmail.com →</w:t>
      </w:r>
      <w:r>
        <w:t xml:space="preserve"> </w:t>
      </w:r>
      <w:r>
        <w:rPr>
          <w:bCs/>
          <w:b/>
        </w:rPr>
        <w:t xml:space="preserve">ihor.kendiukhov@student.uni-tuebingen.de</w:t>
      </w:r>
      <w:r>
        <w:t xml:space="preserve">)</w:t>
      </w:r>
    </w:p>
    <w:p>
      <w:pPr>
        <w:pStyle w:val="BodyText"/>
      </w:pPr>
      <w:r>
        <w:t xml:space="preserve">We thank Associate Editor Lenore Cowen and the four reviewers for the careful, constructive critique. The revision is substantial: we re-ran every axis on a larger and more diverse cohort set, added a real foundation-model scorer (scGPT) plus three new classical scorers, expanded integration analysis from one tool to three, rebuilt the composite metric with an empirical null and a weight-simplex sweep, threshold-graded the rare-cell finding across 5,880 grid points, added an end-to-end reproduction package with</w:t>
      </w:r>
      <w:r>
        <w:t xml:space="preserve"> </w:t>
      </w:r>
      <w:r>
        <w:rPr>
          <w:rStyle w:val="VerbatimChar"/>
        </w:rPr>
        <w:t xml:space="preserve">make audit</w:t>
      </w:r>
      <w:r>
        <w:t xml:space="preserve">, and restructured the AI-assisted review protocol with a 27-issue full-census audit logged in Supplementary Methods S2.</w:t>
      </w:r>
    </w:p>
    <w:p>
      <w:pPr>
        <w:pStyle w:val="BodyText"/>
      </w:pPr>
      <w:r>
        <w:t xml:space="preserve">Cross-references below are to the</w:t>
      </w:r>
      <w:r>
        <w:t xml:space="preserve"> </w:t>
      </w:r>
      <w:r>
        <w:rPr>
          <w:bCs/>
          <w:b/>
        </w:rPr>
        <w:t xml:space="preserve">revised</w:t>
      </w:r>
      <w:r>
        <w:t xml:space="preserve"> </w:t>
      </w:r>
      <w:r>
        <w:t xml:space="preserve">manuscript. Section numbers (e.g. §3.6) and table/figure numbers (e.g. Table 4, Fig 5) all refer to the revised PDF compiled with the OUP</w:t>
      </w:r>
      <w:r>
        <w:t xml:space="preserve"> </w:t>
      </w:r>
      <w:r>
        <w:rPr>
          <w:rStyle w:val="VerbatimChar"/>
        </w:rPr>
        <w:t xml:space="preserve">oup-authoring-template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editor-level-requirements"/>
    <w:p>
      <w:pPr>
        <w:pStyle w:val="Heading2"/>
      </w:pPr>
      <w:r>
        <w:t xml:space="preserve">Editor-level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Editor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code DOI on Zenodo / Figshare / Software Heritage / CRAN / Bioconductor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Code archived at Zenodo: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10.5281/zenodo.20009065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in Abstract Availability and in §</w:t>
            </w:r>
            <w:r>
              <w:t xml:space="preserve">“</w:t>
            </w:r>
            <w:r>
              <w:t xml:space="preserve">Data and Code Availability</w:t>
            </w:r>
            <w:r>
              <w:t xml:space="preserve">”</w:t>
            </w:r>
            <w:r>
              <w:t xml:space="preserve">; live repo at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https://github.com/Biodyn-AI/grn-robustness-audit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statement includes archival DOI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repo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Done.</w:t>
            </w:r>
            <w:r>
              <w:t xml:space="preserve"> </w:t>
            </w:r>
            <w:r>
              <w:t xml:space="preserve">Both are in the Abstract Availability snippet and the Data and Code Availability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Abstract; §</w:t>
            </w:r>
            <w:r>
              <w:t xml:space="preserve">“</w:t>
            </w:r>
            <w:r>
              <w:t xml:space="preserve">Data and Code Availability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 of Interest 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None declared.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r>
              <w:t xml:space="preserve">“</w:t>
            </w:r>
            <w:r>
              <w:t xml:space="preserve">Conflict of Interest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LaTeX template compliance for typeset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from generic</w:t>
            </w:r>
            <w:r>
              <w:t xml:space="preserve"> </w:t>
            </w:r>
            <w:r>
              <w:rPr>
                <w:rStyle w:val="VerbatimChar"/>
              </w:rPr>
              <w:t xml:space="preserve">article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\documentclass[unnumsec,webpdf,contemporary,large,namedate]{oup-authoring-template}</w:t>
            </w:r>
            <w:r>
              <w:t xml:space="preserve">; abstract converted to the journal’s structured</w:t>
            </w:r>
            <w:r>
              <w:t xml:space="preserve"> </w:t>
            </w:r>
            <w:r>
              <w:rPr>
                <w:rStyle w:val="VerbatimChar"/>
              </w:rPr>
              <w:t xml:space="preserve">\abstract{...\textbf{Motivation:}...}</w:t>
            </w:r>
            <w:r>
              <w:t xml:space="preserve"> </w:t>
            </w:r>
            <w:r>
              <w:t xml:space="preserve">block;</w:t>
            </w:r>
            <w:r>
              <w:t xml:space="preserve"> </w:t>
            </w:r>
            <w:r>
              <w:rPr>
                <w:rStyle w:val="VerbatimChar"/>
              </w:rPr>
              <w:t xml:space="preserve">\keywords{}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\corresp{}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\address{}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\authormark{}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\ORCID{}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\received/\revised/\accepted</w:t>
            </w:r>
            <w:r>
              <w:t xml:space="preserve"> </w:t>
            </w:r>
            <w:r>
              <w:t xml:space="preserve">all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Preamble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Page-limit compliance (Original Paper ≤ 7 pages ≈ 5,000 words excluding figures)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trimmed body+abstract from ~8,074 → 5,771 words (~30% reduction). The OUP-typeset PDF is 12 pages; tables and the seven figures (plus seven supplementary) account for the remainder. We are happy to defer further compression to copy-editing if the journal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§1–§5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taxonomy in Author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Recast in CRediT terms (Conceptualization / Methodology / Software / Formal analysis / Investigation / Data curation / Writing — original draft / Writing — review &amp; editing / Visualization / Project administration)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r>
              <w:t xml:space="preserve">“</w:t>
            </w:r>
            <w:r>
              <w:t xml:space="preserve">Author Contributions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ORCID at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Provided: 0000-0001-5342-1499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Marked-up</w:t>
            </w:r>
            <w:r>
              <w:t xml:space="preserve"> </w:t>
            </w:r>
            <w:r>
              <w:t xml:space="preserve">“</w:t>
            </w:r>
            <w:r>
              <w:t xml:space="preserve">track-changes</w:t>
            </w:r>
            <w:r>
              <w:t xml:space="preserve">”</w:t>
            </w:r>
            <w:r>
              <w:t xml:space="preserve"> </w:t>
            </w: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be uploaded alongside the revised manuscript at submission. The complete pre-revision LaTeX is preserved as</w:t>
            </w:r>
            <w:r>
              <w:t xml:space="preserve"> </w:t>
            </w:r>
            <w:r>
              <w:rPr>
                <w:rStyle w:val="VerbatimChar"/>
              </w:rPr>
              <w:t xml:space="preserve">paper/main.pre_revision.tex</w:t>
            </w:r>
            <w:r>
              <w:t xml:space="preserve"> </w:t>
            </w:r>
            <w:r>
              <w:t xml:space="preserve">so the change set can be 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package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1" w:name="Xe3cecc890c08a171310579f977ec808d0899be5"/>
    <w:p>
      <w:pPr>
        <w:pStyle w:val="Heading2"/>
      </w:pPr>
      <w:r>
        <w:t xml:space="preserve">Cross-cutting changes requested by multiple reviewers</w:t>
      </w:r>
    </w:p>
    <w:bookmarkStart w:id="22" w:name="X1d83adfe5acc32eaca5813a8cdc0c319781975c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Foundation-model</w:t>
      </w:r>
      <w:r>
        <w:t xml:space="preserve">”</w:t>
      </w:r>
      <w:r>
        <w:t xml:space="preserve"> </w:t>
      </w:r>
      <w:r>
        <w:t xml:space="preserve">framing vs Pearson-only evidence (R1·a·1, R2·2, R3·title, R4·1, R4·minor·7)</w:t>
      </w:r>
    </w:p>
    <w:p>
      <w:pPr>
        <w:pStyle w:val="FirstParagraph"/>
      </w:pPr>
      <w:r>
        <w:rPr>
          <w:bCs/>
          <w:b/>
        </w:rPr>
        <w:t xml:space="preserve">The core complaint was correct on the original submission.</w:t>
      </w:r>
      <w:r>
        <w:t xml:space="preserve"> </w:t>
      </w:r>
      <w:r>
        <w:t xml:space="preserve">The pre-revision paper named scGPT prominently in the title and abstract but only ran Pearson correlation in the body. That is no longer true.</w:t>
      </w:r>
    </w:p>
    <w:p>
      <w:pPr>
        <w:pStyle w:val="BodyText"/>
      </w:pPr>
      <w:r>
        <w:rPr>
          <w:bCs/>
          <w:b/>
        </w:rPr>
        <w:t xml:space="preserve">Action.</w:t>
      </w:r>
      <w:r>
        <w:t xml:space="preserve"> </w:t>
      </w:r>
      <w:r>
        <w:t xml:space="preserve">We built a pluggable scorer engine (</w:t>
      </w:r>
      <w:r>
        <w:rPr>
          <w:rStyle w:val="VerbatimChar"/>
        </w:rPr>
        <w:t xml:space="preserve">fragility/scorers/</w:t>
      </w:r>
      <w:r>
        <w:t xml:space="preserve">) and implemented five edge scorers exercised across the paper: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Pearson correlation</w:t>
      </w:r>
      <w:r>
        <w:t xml:space="preserve"> </w:t>
      </w:r>
      <w:r>
        <w:t xml:space="preserve">on column-standardised expression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Mutual information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mutual_info_regression</w:t>
      </w:r>
      <w:r>
        <w:t xml:space="preserve"> </w:t>
      </w:r>
      <w:r>
        <w:t xml:space="preserve">(Kraskov–Stögbauer–Grassberger k-NN estimator, k=3)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GRNBoost2</w:t>
      </w:r>
      <w:r>
        <w:t xml:space="preserve"> </w:t>
      </w:r>
      <w:r>
        <w:t xml:space="preserve">(gradient-boosted regression importance)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GENIE3</w:t>
      </w:r>
      <w:r>
        <w:t xml:space="preserve"> </w:t>
      </w:r>
      <w:r>
        <w:t xml:space="preserve">(random-forest regression importance)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scGPT attention</w:t>
      </w:r>
      <w:r>
        <w:t xml:space="preserve"> </w:t>
      </w:r>
      <w:r>
        <w:t xml:space="preserve">extracted from the public</w:t>
      </w:r>
      <w:r>
        <w:t xml:space="preserve"> </w:t>
      </w:r>
      <w:r>
        <w:rPr>
          <w:iCs/>
          <w:i/>
        </w:rPr>
        <w:t xml:space="preserve">whole-human</w:t>
      </w:r>
      <w:r>
        <w:t xml:space="preserve"> </w:t>
      </w:r>
      <w:r>
        <w:t xml:space="preserve">checkpoint via a torchtext-free wrapper (FlashAttention-trained</w:t>
      </w:r>
      <w:r>
        <w:t xml:space="preserve"> </w:t>
      </w:r>
      <w:r>
        <w:rPr>
          <w:rStyle w:val="VerbatimChar"/>
        </w:rPr>
        <w:t xml:space="preserve">Wqkv</w:t>
      </w:r>
      <w:r>
        <w:t xml:space="preserve"> </w:t>
      </w:r>
      <w:r>
        <w:t xml:space="preserve">keys remapped to standard</w:t>
      </w:r>
      <w:r>
        <w:t xml:space="preserve"> </w:t>
      </w:r>
      <w:r>
        <w:rPr>
          <w:rStyle w:val="VerbatimChar"/>
        </w:rPr>
        <w:t xml:space="preserve">in_proj</w:t>
      </w:r>
      <w:r>
        <w:t xml:space="preserve"> </w:t>
      </w:r>
      <w:r>
        <w:t xml:space="preserve">keys)</w:t>
      </w:r>
    </w:p>
    <w:p>
      <w:pPr>
        <w:pStyle w:val="FirstParagraph"/>
      </w:pPr>
      <w:r>
        <w:t xml:space="preserve">scGPT is now a real first-class scorer; we explicitly state in §2.2 that the model is used as a</w:t>
      </w:r>
      <w:r>
        <w:t xml:space="preserve"> </w:t>
      </w:r>
      <w:r>
        <w:rPr>
          <w:bCs/>
          <w:b/>
        </w:rPr>
        <w:t xml:space="preserve">frozen pretrained feature extractor</w:t>
      </w:r>
      <w:r>
        <w:t xml:space="preserve"> </w:t>
      </w:r>
      <w:r>
        <w:t xml:space="preserve">(no fine-tuning is performed) and therefore the journal’s</w:t>
      </w:r>
      <w:r>
        <w:t xml:space="preserve"> </w:t>
      </w:r>
      <w:r>
        <w:t xml:space="preserve">“</w:t>
      </w:r>
      <w:r>
        <w:t xml:space="preserve">ML training-dataset subsection</w:t>
      </w:r>
      <w:r>
        <w:t xml:space="preserve">”</w:t>
      </w:r>
      <w:r>
        <w:t xml:space="preserve"> </w:t>
      </w:r>
      <w:r>
        <w:t xml:space="preserve">requirement does not apply.</w:t>
      </w:r>
    </w:p>
    <w:p>
      <w:pPr>
        <w:pStyle w:val="BodyText"/>
      </w:pPr>
      <w:r>
        <w:rPr>
          <w:bCs/>
          <w:b/>
        </w:rPr>
        <w:t xml:space="preserve">Headline new finding</w:t>
      </w:r>
      <w:r>
        <w:t xml:space="preserve"> </w:t>
      </w:r>
      <w:r>
        <w:t xml:space="preserve">(Table 3, §3.6): scGPT attention rankings on the same 800 cells are</w:t>
      </w:r>
      <w:r>
        <w:t xml:space="preserve"> </w:t>
      </w:r>
      <w:r>
        <w:rPr>
          <w:bCs/>
          <w:b/>
        </w:rPr>
        <w:t xml:space="preserve">statistically uncorrelated with every classical scorer</w:t>
      </w:r>
      <w:r>
        <w:t xml:space="preserve"> </w:t>
      </w:r>
      <w:r>
        <w:t xml:space="preserve">— Spearman ρ ranges from −0.05 (vs Pearson) to +0.20 (vs MI), top-100 Jaccard 0.02–0.06, and the bounded-drift RSS composite sits at or above the rank-permutation null mean of ≈0.72. So</w:t>
      </w:r>
      <w:r>
        <w:t xml:space="preserve"> </w:t>
      </w:r>
      <w:r>
        <w:rPr>
          <w:bCs/>
          <w:b/>
        </w:rPr>
        <w:t xml:space="preserve">within-scorer fragility profiles do not transfer across scorer families</w:t>
      </w:r>
      <w:r>
        <w:t xml:space="preserve">. This new orthogonality finding is reflected in the abstract (point vi) and §3.6.</w:t>
      </w:r>
    </w:p>
    <w:p>
      <w:pPr>
        <w:pStyle w:val="BodyText"/>
      </w:pPr>
      <w:r>
        <w:rPr>
          <w:bCs/>
          <w:b/>
        </w:rPr>
        <w:t xml:space="preserve">Title and framing — explicit decision.</w:t>
      </w:r>
      <w:r>
        <w:t xml:space="preserve"> </w:t>
      </w:r>
      <w:r>
        <w:t xml:space="preserve">The title still reads</w:t>
      </w:r>
      <w:r>
        <w:t xml:space="preserve"> </w:t>
      </w:r>
      <w:r>
        <w:t xml:space="preserve">“</w:t>
      </w:r>
      <w:r>
        <w:rPr>
          <w:iCs/>
          <w:i/>
        </w:rPr>
        <w:t xml:space="preserve">from Single-Cell Foundation Models</w:t>
      </w:r>
      <w:r>
        <w:t xml:space="preserve">”</w:t>
      </w:r>
      <w:r>
        <w:t xml:space="preserve">. This is now defensible because the audit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include a real foundation-model scorer and reports the divergence between scGPT and classical scorers as a primary contribution. We will, however, accept the editor’s preferred wording if Bioinformatics would prefer a more neutral title (suggested alternative: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Five Axes of Fragility: A Multi-Scorer Robustness Audit of Gene-Regulatory-Network Inference from Single-Cell Transcriptomics</w:t>
      </w:r>
      <w:r>
        <w:rPr>
          <w:iCs/>
          <w:i/>
        </w:rPr>
        <w:t xml:space="preserve">”</w:t>
      </w:r>
      <w:r>
        <w:t xml:space="preserve">).</w:t>
      </w:r>
    </w:p>
    <w:bookmarkEnd w:id="22"/>
    <w:bookmarkStart w:id="23" w:name="Xecbd9f0a44d5d5d465934296fe398c69636f7ab"/>
    <w:p>
      <w:pPr>
        <w:pStyle w:val="Heading3"/>
      </w:pPr>
      <w:r>
        <w:t xml:space="preserve">2. MVCC circularity and single-tissue claim (R1·a·2, R4·2)</w:t>
      </w:r>
    </w:p>
    <w:p>
      <w:pPr>
        <w:pStyle w:val="FirstParagraph"/>
      </w:pPr>
      <w:r>
        <w:rPr>
          <w:bCs/>
          <w:b/>
        </w:rPr>
        <w:t xml:space="preserve">Action.</w:t>
      </w:r>
      <w:r>
        <w:t xml:space="preserve"> </w:t>
      </w:r>
      <w:r>
        <w:t xml:space="preserve">Re-ran Axis 1 on</w:t>
      </w:r>
      <w:r>
        <w:t xml:space="preserve"> </w:t>
      </w:r>
      <w:r>
        <w:rPr>
          <w:bCs/>
          <w:b/>
        </w:rPr>
        <w:t xml:space="preserve">all six cohorts</w:t>
      </w:r>
      <w:r>
        <w:t xml:space="preserve"> </w:t>
      </w:r>
      <w:r>
        <w:t xml:space="preserve">(four Tabula Sapiens tissues + Travaglini external lung + Delorey COVID lung) with an</w:t>
      </w:r>
      <w:r>
        <w:t xml:space="preserve"> </w:t>
      </w:r>
      <w:r>
        <w:rPr>
          <w:bCs/>
          <w:b/>
        </w:rPr>
        <w:t xml:space="preserve">anchor ablation</w:t>
      </w:r>
      <w:r>
        <w:t xml:space="preserve"> </w:t>
      </w:r>
      <w:r>
        <w:t xml:space="preserve">at {3,000, 8,000} cells (and {3,000, 8,000, 15,000} on Delorey, whose 116,313 cells permit it).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</w:t>
      </w:r>
      <w:r>
        <w:t xml:space="preserve">: MVCC is</w:t>
      </w:r>
      <w:r>
        <w:t xml:space="preserve"> </w:t>
      </w:r>
      <w:r>
        <w:rPr>
          <w:bCs/>
          <w:b/>
        </w:rPr>
        <w:t xml:space="preserve">anchor-invariant</w:t>
      </w:r>
      <w:r>
        <w:t xml:space="preserve"> </w:t>
      </w:r>
      <w:r>
        <w:t xml:space="preserve">at every cohort (Fig 1B, Supp Fig S1) — identical values emerge against 3k, 8k, and 15k anchors, ruling out anchor–threshold circularity.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MVCC is scorer-specific</w:t>
      </w:r>
      <w:r>
        <w:t xml:space="preserve">: under Pearson on 600 HVGs, MVCC = 200 cells for kidney/lung/immune-invariant/external lung and 500 cells for primary immune and Delorey COVID. Under scGPT attention, MVCC &gt; 3,000 cells. The original</w:t>
      </w:r>
      <w:r>
        <w:t xml:space="preserve"> </w:t>
      </w:r>
      <w:r>
        <w:t xml:space="preserve">“</w:t>
      </w:r>
      <w:r>
        <w:t xml:space="preserve">&gt;3,000</w:t>
      </w:r>
      <w:r>
        <w:t xml:space="preserve">”</w:t>
      </w:r>
      <w:r>
        <w:t xml:space="preserve"> </w:t>
      </w:r>
      <w:r>
        <w:t xml:space="preserve">guideline therefore applies only to scGPT — under classical scorers, 200–500 cells suffice on the cohorts tested.</w:t>
      </w:r>
    </w:p>
    <w:p>
      <w:pPr>
        <w:numPr>
          <w:ilvl w:val="0"/>
          <w:numId w:val="1002"/>
        </w:numPr>
        <w:pStyle w:val="Compact"/>
      </w:pPr>
      <w:r>
        <w:t xml:space="preserve">The full</w:t>
      </w:r>
      <w:r>
        <w:t xml:space="preserve"> </w:t>
      </w:r>
      <w:r>
        <w:rPr>
          <w:bCs/>
          <w:b/>
        </w:rPr>
        <w:t xml:space="preserve">Jaccard-vs-cell-count curves</w:t>
      </w:r>
      <w:r>
        <w:t xml:space="preserve"> </w:t>
      </w:r>
      <w:r>
        <w:t xml:space="preserve">for every (cohort, anchor, scorer) triple are now in Supp Fig S1 (R4·2 directly addressed).</w:t>
      </w:r>
    </w:p>
    <w:bookmarkEnd w:id="23"/>
    <w:bookmarkStart w:id="24" w:name="Xbd3ddf593a9f93cee6502d308d12ef4db9160ce"/>
    <w:p>
      <w:pPr>
        <w:pStyle w:val="Heading3"/>
      </w:pPr>
      <w:r>
        <w:t xml:space="preserve">3. Dataset diversity beyond Tabula Sapiens (R2·1, R4·2)</w:t>
      </w:r>
    </w:p>
    <w:p>
      <w:pPr>
        <w:pStyle w:val="FirstParagraph"/>
      </w:pPr>
      <w:r>
        <w:rPr>
          <w:bCs/>
          <w:b/>
        </w:rPr>
        <w:t xml:space="preserve">Action.</w:t>
      </w:r>
      <w:r>
        <w:t xml:space="preserve"> </w:t>
      </w:r>
      <w:r>
        <w:t xml:space="preserve">Two additions beyond the original four-tissue Tabula Sapiens panel: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Travaglini et al. 2020 SmartSeq2 lung atlas</w:t>
      </w:r>
      <w:r>
        <w:t xml:space="preserve"> </w:t>
      </w:r>
      <w:r>
        <w:t xml:space="preserve">(</w:t>
      </w:r>
      <w:r>
        <w:t xml:space="preserve">) — non-Tabula-Sapiens, non-10x technology, runs on Axes 2 and 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Delorey et al. 2021 COVID-19 lung atlas</w:t>
      </w:r>
      <w:r>
        <w:t xml:space="preserve"> </w:t>
      </w:r>
      <w:r>
        <w:t xml:space="preserve">(116,313 cells, 27 donors, downloaded from CellxGene) —</w:t>
      </w:r>
      <w:r>
        <w:t xml:space="preserve"> </w:t>
      </w:r>
      <w:r>
        <w:rPr>
          <w:iCs/>
          <w:i/>
        </w:rPr>
        <w:t xml:space="preserve">disease cohort</w:t>
      </w:r>
      <w:r>
        <w:t xml:space="preserve">, runs on Axes 1, 2, and 3</w:t>
      </w:r>
    </w:p>
    <w:p>
      <w:pPr>
        <w:pStyle w:val="FirstParagraph"/>
      </w:pPr>
      <w:r>
        <w:t xml:space="preserve">On Delorey we observe a qualitatively new failure mode in Axis 3: rank-stability is high (Spearman 0.85–0.89) and Jaccard reasonable (0.53–0.63), but null-separation AUC is uniformly weak (0.50–0.64) so</w:t>
      </w:r>
      <w:r>
        <w:t xml:space="preserve"> </w:t>
      </w:r>
      <w:r>
        <w:rPr>
          <w:bCs/>
          <w:b/>
        </w:rPr>
        <w:t xml:space="preserve">no cell type passes the gate in any rarity class</w:t>
      </w:r>
      <w:r>
        <w:t xml:space="preserve">. We interpret this as disease-driven shared-expression programmes (COVID-induced myeloid / fibroblast remodelling) compressing the observed-vs-null gap, and call out the need for disease-specific recalibration in §3.3.</w:t>
      </w:r>
    </w:p>
    <w:p>
      <w:pPr>
        <w:pStyle w:val="BodyText"/>
      </w:pPr>
      <w:r>
        <w:t xml:space="preserve">The geneRNBI dataset collection (R2·1) is a useful pointer — we considered it during revision but deemed an immediate switch out of scope; we cite it as a natural extension for follow-up work.</w:t>
      </w:r>
    </w:p>
    <w:bookmarkEnd w:id="24"/>
    <w:bookmarkStart w:id="25" w:name="single-integration-tool-r48-r22"/>
    <w:p>
      <w:pPr>
        <w:pStyle w:val="Heading3"/>
      </w:pPr>
      <w:r>
        <w:t xml:space="preserve">4. Single integration tool (R4·8, R2·2)</w:t>
      </w:r>
    </w:p>
    <w:p>
      <w:pPr>
        <w:pStyle w:val="FirstParagraph"/>
      </w:pPr>
      <w:r>
        <w:rPr>
          <w:bCs/>
          <w:b/>
        </w:rPr>
        <w:t xml:space="preserve">Action.</w:t>
      </w:r>
      <w:r>
        <w:t xml:space="preserve"> </w:t>
      </w:r>
      <w:r>
        <w:t xml:space="preserve">Cross-method comparison on the same three tissues (immune, lung, kidney) on identical inputs (Table 2, §3.5):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 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scVI 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Scanorama 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Sign-flip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/ 24% /</w:t>
            </w:r>
            <w:r>
              <w:t xml:space="preserve"> </w:t>
            </w:r>
            <w:r>
              <w:rPr>
                <w:bCs/>
                <w:b/>
              </w:rP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 / 30% /</w:t>
            </w:r>
            <w:r>
              <w:t xml:space="preserve"> </w:t>
            </w:r>
            <w:r>
              <w:rPr>
                <w:bCs/>
                <w:b/>
              </w:rPr>
              <w:t xml:space="preserve">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/ 18% / 26%</w:t>
            </w:r>
          </w:p>
        </w:tc>
      </w:tr>
    </w:tbl>
    <w:p>
      <w:pPr>
        <w:pStyle w:val="BodyText"/>
      </w:pPr>
      <w:r>
        <w:t xml:space="preserve">Three regimes emerge: Harmony preserves rankings (6–17 % sign-flip), scVI moderately perturbs them (18–30 %), and Scanorama on kidney/lung produces near-random rankings (44–47 % sign-flip; RSS at the rank-permutation null mean). Integration-method choice therefore matters far more than the pre-revision Harmony-only analysis suggested. The Limitations section (§4) flags MNN</w:t>
      </w:r>
      <w:r>
        <w:t xml:space="preserve"> </w:t>
      </w:r>
      <w:r>
        <w:t xml:space="preserve"> </w:t>
      </w:r>
      <w:r>
        <w:t xml:space="preserve">and BBKNN</w:t>
      </w:r>
      <w:r>
        <w:t xml:space="preserve"> </w:t>
      </w:r>
      <w:r>
        <w:t xml:space="preserve"> </w:t>
      </w:r>
      <w:r>
        <w:t xml:space="preserve">as natural follow-up integrators.</w:t>
      </w:r>
    </w:p>
    <w:bookmarkEnd w:id="25"/>
    <w:bookmarkStart w:id="26" w:name="Xa5a100a026035564c0762804a90b4134f164c2f"/>
    <w:p>
      <w:pPr>
        <w:pStyle w:val="Heading3"/>
      </w:pPr>
      <w:r>
        <w:t xml:space="preserve">5. Opaque composite metric, threshold choices, panel choices (R1·a·3, R1·a·4, R1·a·5, R3·metric-defs, R4·4, R4·5, R4·6)</w:t>
      </w:r>
    </w:p>
    <w:p>
      <w:pPr>
        <w:pStyle w:val="FirstParagraph"/>
      </w:pPr>
      <w:r>
        <w:rPr>
          <w:bCs/>
          <w:b/>
        </w:rPr>
        <w:t xml:space="preserve">RSS rebuilt with bounded drift, empirical null, and weight sweep.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Bounded drift term</w:t>
      </w:r>
      <w:r>
        <w:t xml:space="preserve"> </w:t>
      </w:r>
      <w:r>
        <w:t xml:space="preserve">(R1·a·5):</w:t>
      </w:r>
      <w:r>
        <w:t xml:space="preserve"> </w:t>
      </w:r>
      <w:r>
        <w:rPr>
          <w:rStyle w:val="VerbatimChar"/>
        </w:rPr>
        <w:t xml:space="preserve">drift_norm = min(1, median |Δrank| / k)</w:t>
      </w:r>
      <w:r>
        <w:t xml:space="preserve"> </w:t>
      </w:r>
      <w:r>
        <w:t xml:space="preserve">∈ [0,1]. Worst-case rank change inside a top-k set is k, so dividing by k gives a [0,1] statistic; the explicit</w:t>
      </w:r>
      <w:r>
        <w:t xml:space="preserve"> </w:t>
      </w:r>
      <w:r>
        <w:rPr>
          <w:rStyle w:val="VerbatimChar"/>
        </w:rPr>
        <w:t xml:space="preserve">min(1, ·)</w:t>
      </w:r>
      <w:r>
        <w:t xml:space="preserve"> </w:t>
      </w:r>
      <w:r>
        <w:t xml:space="preserve">clip handles edge cases. RSS components (overlap_loss, jaccard_loss, drift_norm) are now reported separately in addition to the composite (R1·a·4).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Empirical null distribution</w:t>
      </w:r>
      <w:r>
        <w:t xml:space="preserve"> </w:t>
      </w:r>
      <w:r>
        <w:t xml:space="preserve">built from 1,000 rank-permutations per cohort (R4·4): null mean ≈ 0.79, null 5th-percentile ≈ 0.73. Every observed RSS sits</w:t>
      </w:r>
      <w:r>
        <w:t xml:space="preserve"> </w:t>
      </w:r>
      <w:r>
        <w:rPr>
          <w:bCs/>
          <w:b/>
        </w:rPr>
        <w:t xml:space="preserve">8.8 to 13.1 σ below null</w:t>
      </w:r>
      <w:r>
        <w:t xml:space="preserve"> </w:t>
      </w:r>
      <w:r>
        <w:t xml:space="preserve">at empirical p = 0.001 (Supp Fig S3). The previous</w:t>
      </w:r>
      <w:r>
        <w:t xml:space="preserve"> </w:t>
      </w:r>
      <w:r>
        <w:t xml:space="preserve">“</w:t>
      </w:r>
      <w:r>
        <w:t xml:space="preserve">uninterpretable 0.276–0.440</w:t>
      </w:r>
      <w:r>
        <w:t xml:space="preserve">”</w:t>
      </w:r>
      <w:r>
        <w:t xml:space="preserve"> </w:t>
      </w:r>
      <w:r>
        <w:t xml:space="preserve">range becomes</w:t>
      </w:r>
      <w:r>
        <w:t xml:space="preserve"> </w:t>
      </w:r>
      <w:r>
        <w:t xml:space="preserve">“</w:t>
      </w:r>
      <w:r>
        <w:t xml:space="preserve">every cohort highly significantly more stable than a random coarse-vs-fine pairing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 66-point weight simplex sweep</w:t>
      </w:r>
      <w:r>
        <w:t xml:space="preserve"> </w:t>
      </w:r>
      <w:r>
        <w:t xml:space="preserve">at step 0.1 (R1·a·3, R4·4): the dual-null recommendation is</w:t>
      </w:r>
      <w:r>
        <w:t xml:space="preserve"> </w:t>
      </w:r>
      <w:r>
        <w:rPr>
          <w:bCs/>
          <w:b/>
        </w:rPr>
        <w:t xml:space="preserve">weight-invariant</w:t>
      </w:r>
      <w:r>
        <w:t xml:space="preserve"> </w:t>
      </w:r>
      <w:r>
        <w:t xml:space="preserve">— the within-coarse null fails universally regardless of weight choice, so no simplex point rescues a</w:t>
      </w:r>
      <w:r>
        <w:t xml:space="preserve"> </w:t>
      </w:r>
      <w:r>
        <w:t xml:space="preserve">“</w:t>
      </w:r>
      <w:r>
        <w:t xml:space="preserve">fine</w:t>
      </w:r>
      <w:r>
        <w:t xml:space="preserve">”</w:t>
      </w:r>
      <w:r>
        <w:t xml:space="preserve"> </w:t>
      </w:r>
      <w:r>
        <w:t xml:space="preserve">recommendation (Supp Fig S2).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 one composite vs three separate metrics</w:t>
      </w:r>
      <w:r>
        <w:t xml:space="preserve"> </w:t>
      </w:r>
      <w:r>
        <w:t xml:space="preserve">(R1·a·4): we now report both. The composite gives a single ordering for cross-cohort comparison; the components let readers see where the ranking change comes from. §2.3 carries the formula and §3.2 reports both.</w:t>
      </w:r>
    </w:p>
    <w:p>
      <w:pPr>
        <w:pStyle w:val="FirstParagraph"/>
      </w:pPr>
      <w:r>
        <w:rPr>
          <w:bCs/>
          <w:b/>
        </w:rPr>
        <w:t xml:space="preserve">Reliability-gate thresholds threshold-graded</w:t>
      </w:r>
      <w:r>
        <w:t xml:space="preserve"> </w:t>
      </w:r>
      <w:r>
        <w:t xml:space="preserve">(R4·5, R1·a·5). 5,880-point 5-D grid sweep over (stability, Jaccard, AUC, tail gap, cell count): the abundant-vs-rare gap direction is preserved at</w:t>
      </w:r>
      <w:r>
        <w:t xml:space="preserve"> </w:t>
      </w:r>
      <w:r>
        <w:rPr>
          <w:bCs/>
          <w:b/>
        </w:rPr>
        <w:t xml:space="preserve">100% of grid points</w:t>
      </w:r>
      <w:r>
        <w:t xml:space="preserve">; rare pass rate = 0 at 66.7%; the grid-mean gap (+0.344) is wider than the primary-threshold gap (+0.182), so primary thresholds are</w:t>
      </w:r>
      <w:r>
        <w:t xml:space="preserve"> </w:t>
      </w:r>
      <w:r>
        <w:rPr>
          <w:iCs/>
          <w:i/>
        </w:rPr>
        <w:t xml:space="preserve">conservative</w:t>
      </w:r>
      <w:r>
        <w:t xml:space="preserve"> </w:t>
      </w:r>
      <w:r>
        <w:t xml:space="preserve">(Supp Fig S4). Thresholds were pre-registered in code before the grid sweep ran (R4·5 circularity concern addressed).</w:t>
      </w:r>
    </w:p>
    <w:p>
      <w:pPr>
        <w:pStyle w:val="BodyText"/>
      </w:pPr>
      <w:r>
        <w:rPr>
          <w:bCs/>
          <w:b/>
        </w:rPr>
        <w:t xml:space="preserve">Panel choices unified</w:t>
      </w:r>
      <w:r>
        <w:t xml:space="preserve"> </w:t>
      </w:r>
      <w:r>
        <w:t xml:space="preserve">(R4·6). A shared panel registry (</w:t>
      </w:r>
      <w:r>
        <w:rPr>
          <w:rStyle w:val="VerbatimChar"/>
        </w:rPr>
        <w:t xml:space="preserve">fragility.panels.registry</w:t>
      </w:r>
      <w:r>
        <w:t xml:space="preserve">, Supp Table S1) holds every named panel as an exact edge list at runtime: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(DoRothEA A/B ∩ TRRUST, 3,384 edges),</w:t>
      </w:r>
      <w:r>
        <w:t xml:space="preserve"> </w:t>
      </w:r>
      <w:r>
        <w:rPr>
          <w:rStyle w:val="VerbatimChar"/>
        </w:rPr>
        <w:t xml:space="preserve">dorothea_ab</w:t>
      </w:r>
      <w:r>
        <w:t xml:space="preserve">,</w:t>
      </w:r>
      <w:r>
        <w:t xml:space="preserve"> </w:t>
      </w:r>
      <w:r>
        <w:rPr>
          <w:rStyle w:val="VerbatimChar"/>
        </w:rPr>
        <w:t xml:space="preserve">trrust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hematopoiesis_76×108</w:t>
      </w:r>
      <w:r>
        <w:t xml:space="preserve"> </w:t>
      </w:r>
      <w:r>
        <w:t xml:space="preserve">(Axis 4, 8,208 directed edges before gene-universe restriction), and</w:t>
      </w:r>
      <w:r>
        <w:t xml:space="preserve"> </w:t>
      </w:r>
      <w:r>
        <w:rPr>
          <w:rStyle w:val="VerbatimChar"/>
        </w:rPr>
        <w:t xml:space="preserve">shared_36</w:t>
      </w:r>
      <w:r>
        <w:t xml:space="preserve"> </w:t>
      </w:r>
      <w:r>
        <w:t xml:space="preserve">(Axis 3 cross-dataset sensitivity). Selection criteria are documented in code and reproduced in Supp Table S1.</w:t>
      </w:r>
    </w:p>
    <w:bookmarkEnd w:id="26"/>
    <w:bookmarkStart w:id="27" w:name="X9fc1f0f04c2593c8b7084d4b8ef543f823e4c4c"/>
    <w:p>
      <w:pPr>
        <w:pStyle w:val="Heading3"/>
      </w:pPr>
      <w:r>
        <w:t xml:space="preserve">6. AI-assisted review protocol (R2·4, R3·AI-agent, R4·7)</w:t>
      </w:r>
    </w:p>
    <w:p>
      <w:pPr>
        <w:pStyle w:val="FirstParagraph"/>
      </w:pPr>
      <w:r>
        <w:rPr>
          <w:bCs/>
          <w:b/>
        </w:rPr>
        <w:t xml:space="preserve">Action.</w:t>
      </w:r>
      <w:r>
        <w:t xml:space="preserve"> </w:t>
      </w:r>
      <w:r>
        <w:t xml:space="preserve">§2.10 of the revised paper carries a one-paragraph summary; the</w:t>
      </w:r>
      <w:r>
        <w:t xml:space="preserve"> </w:t>
      </w:r>
      <w:r>
        <w:rPr>
          <w:bCs/>
          <w:b/>
        </w:rPr>
        <w:t xml:space="preserve">full protocol</w:t>
      </w:r>
      <w:r>
        <w:t xml:space="preserve"> </w:t>
      </w:r>
      <w:r>
        <w:t xml:space="preserve">lives in Supplementary Methods S2: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 model</w:t>
      </w:r>
      <w:r>
        <w:t xml:space="preserve">: Claude Opus 4.7 (1M-token context) via Claude Code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Rubric</w:t>
      </w:r>
      <w:r>
        <w:t xml:space="preserve">: confounded null designs, overfitted hyperparameters, leakage, composite-metric uninterpretability, panel-selection arbitrariness, figure/caption mismatches, threshold sensitivity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Triggering criterion for corrective experiments</w:t>
      </w:r>
      <w:r>
        <w:t xml:space="preserve">: any rubric category flagged with concrete reproducible evidence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Workflow</w:t>
      </w:r>
      <w:r>
        <w:t xml:space="preserve">: agent specifies experiment → human executes → agent verifies result before claim is updated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Audit log</w:t>
      </w:r>
      <w:r>
        <w:t xml:space="preserve">: 27 agent-raised issues classified as</w:t>
      </w:r>
      <w:r>
        <w:t xml:space="preserve"> </w:t>
      </w:r>
      <w:r>
        <w:rPr>
          <w:bCs/>
          <w:b/>
        </w:rPr>
        <w:t xml:space="preserve">23 material, 4 minor, 0 false positive, 0 unclear</w:t>
      </w:r>
      <w:r>
        <w:t xml:space="preserve"> </w:t>
      </w:r>
      <w:r>
        <w:t xml:space="preserve">under a pre-registered rubric. Round-by-round logs and the issue census are in Supp Methods S2.</w:t>
      </w:r>
    </w:p>
    <w:p>
      <w:pPr>
        <w:pStyle w:val="FirstParagraph"/>
      </w:pPr>
      <w:r>
        <w:t xml:space="preserve">The agent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search the metric space adversarially (R3 worried about this); the rubric is fixed in advance and the agent applies it. So it is not</w:t>
      </w:r>
      <w:r>
        <w:t xml:space="preserve"> </w:t>
      </w:r>
      <w:r>
        <w:t xml:space="preserve">“</w:t>
      </w:r>
      <w:r>
        <w:t xml:space="preserve">trying to find metrics where stability is poorest</w:t>
      </w:r>
      <w:r>
        <w:t xml:space="preserve">”</w:t>
      </w:r>
      <w:r>
        <w:t xml:space="preserve"> </w:t>
      </w:r>
      <w:r>
        <w:t xml:space="preserve">— it is checking standard threats-to-validity that any reviewer would check, more systematically and reproducibly than a single human pass.</w:t>
      </w:r>
    </w:p>
    <w:bookmarkEnd w:id="27"/>
    <w:bookmarkStart w:id="29" w:name="code-release-r1b1-r3code"/>
    <w:p>
      <w:pPr>
        <w:pStyle w:val="Heading3"/>
      </w:pPr>
      <w:r>
        <w:t xml:space="preserve">7. Code release (R1·b·1, R3·code)</w:t>
      </w:r>
    </w:p>
    <w:p>
      <w:pPr>
        <w:pStyle w:val="FirstParagraph"/>
      </w:pPr>
      <w:r>
        <w:rPr>
          <w:bCs/>
          <w:b/>
        </w:rPr>
        <w:t xml:space="preserve">Action.</w:t>
      </w:r>
      <w:r>
        <w:t xml:space="preserve"> </w:t>
      </w:r>
      <w:r>
        <w:t xml:space="preserve">The full reproduction package is now public at</w:t>
      </w:r>
      <w:r>
        <w:t xml:space="preserve"> </w:t>
      </w:r>
      <w:hyperlink r:id="rId20">
        <w:r>
          <w:rPr>
            <w:rStyle w:val="Hyperlink"/>
          </w:rPr>
          <w:t xml:space="preserve">https://github.com/Biodyn-AI/grn-robustness-audit</w:t>
        </w:r>
      </w:hyperlink>
      <w:r>
        <w:t xml:space="preserve"> </w:t>
      </w:r>
      <w:r>
        <w:t xml:space="preserve">(mirrored on Zenodo at</w:t>
      </w:r>
      <w:r>
        <w:t xml:space="preserve"> </w:t>
      </w:r>
      <w:hyperlink r:id="rId28">
        <w:r>
          <w:rPr>
            <w:rStyle w:val="Hyperlink"/>
          </w:rPr>
          <w:t xml:space="preserve">https://doi.org/10.5281/zenodo.20009065</w:t>
        </w:r>
      </w:hyperlink>
      <w:r>
        <w:t xml:space="preserve">) under the</w:t>
      </w:r>
      <w:r>
        <w:t xml:space="preserve"> </w:t>
      </w:r>
      <w:r>
        <w:rPr>
          <w:rStyle w:val="VerbatimChar"/>
        </w:rPr>
        <w:t xml:space="preserve">implementation/</w:t>
      </w:r>
      <w:r>
        <w:t xml:space="preserve"> </w:t>
      </w:r>
      <w:r>
        <w:t xml:space="preserve">directory. The package contains: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fragility/preprocessing.py</w:t>
      </w:r>
      <w:r>
        <w:t xml:space="preserve"> </w:t>
      </w:r>
      <w:r>
        <w:t xml:space="preserve">— shared scRNA-seq preprocessing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fragility/panels/</w:t>
      </w:r>
      <w:r>
        <w:t xml:space="preserve"> </w:t>
      </w:r>
      <w:r>
        <w:t xml:space="preserve">— TF–target panel registry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fragility/scorers/</w:t>
      </w:r>
      <w:r>
        <w:t xml:space="preserve"> </w:t>
      </w:r>
      <w:r>
        <w:t xml:space="preserve">— pluggable edge-scoring engine (Pearson, MI, GRNBoost2, GENIE3, scGPT attention)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fragility/nulls/</w:t>
      </w:r>
      <w:r>
        <w:t xml:space="preserve"> </w:t>
      </w:r>
      <w:r>
        <w:t xml:space="preserve">— null-model library (global, within-coarse, gene-shuffle, rank-permutation, degree-preserving rewire)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fragility/metrics/</w:t>
      </w:r>
      <w:r>
        <w:t xml:space="preserve"> </w:t>
      </w:r>
      <w:r>
        <w:t xml:space="preserve">— bounded-drift RSS, stability, top-k, null-AUC, tail-gap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fragility/axes/</w:t>
      </w:r>
      <w:r>
        <w:t xml:space="preserve"> </w:t>
      </w:r>
      <w:r>
        <w:t xml:space="preserve">— five axis pipelines + work-package runners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fragility/cli/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python -m fragility</w:t>
      </w:r>
      <w:r>
        <w:t xml:space="preserve"> </w:t>
      </w:r>
      <w:r>
        <w:t xml:space="preserve">entrypoint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configs/</w:t>
      </w:r>
      <w:r>
        <w:t xml:space="preserve"> </w:t>
      </w:r>
      <w:r>
        <w:t xml:space="preserve">— YAML configs for every axis and work-package run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35 unit tests, all passing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audit</w:t>
      </w:r>
      <w:r>
        <w:t xml:space="preserve"> </w:t>
      </w:r>
      <w:r>
        <w:t xml:space="preserve">reproduces every CSV and figure in the manuscript from raw h5ad input</w:t>
      </w:r>
    </w:p>
    <w:p>
      <w:pPr>
        <w:pStyle w:val="FirstParagraph"/>
      </w:pPr>
      <w:r>
        <w:t xml:space="preserve">Adding a new scorer or dataset requires implementing one interface and registering it in a YAML config (R3 explicitly asked for extensibility).</w:t>
      </w:r>
    </w:p>
    <w:bookmarkEnd w:id="29"/>
    <w:bookmarkStart w:id="30" w:name="joint-validation-of-recommendations-r43"/>
    <w:p>
      <w:pPr>
        <w:pStyle w:val="Heading3"/>
      </w:pPr>
      <w:r>
        <w:t xml:space="preserve">8. Joint validation of recommendations (R4·3)</w:t>
      </w:r>
    </w:p>
    <w:p>
      <w:pPr>
        <w:pStyle w:val="FirstParagraph"/>
      </w:pPr>
      <w:r>
        <w:rPr>
          <w:bCs/>
          <w:b/>
        </w:rPr>
        <w:t xml:space="preserve">Action.</w:t>
      </w:r>
      <w:r>
        <w:t xml:space="preserve"> </w:t>
      </w:r>
      <w:r>
        <w:t xml:space="preserve">A WP-7 prospective audit, in which a single cohort is constructed to satisfy every recommendation in Table 5 and then re-audited across all five axes, is acknowledged in §</w:t>
      </w:r>
      <w:r>
        <w:t xml:space="preserve">“</w:t>
      </w:r>
      <w:r>
        <w:t xml:space="preserve">Discussion → Limitations</w:t>
      </w:r>
      <w:r>
        <w:t xml:space="preserve">”</w:t>
      </w:r>
      <w:r>
        <w:t xml:space="preserve"> </w:t>
      </w:r>
      <w:r>
        <w:t xml:space="preserve">as the natural next experiment. Given that the within-coarse null fails universally and scGPT rankings are statistically orthogonal to classical rankings, the revision’s honest position is that</w:t>
      </w:r>
      <w:r>
        <w:t xml:space="preserve"> </w:t>
      </w:r>
      <w:r>
        <w:rPr>
          <w:bCs/>
          <w:b/>
        </w:rPr>
        <w:t xml:space="preserve">the recommendations are necessary</w:t>
      </w:r>
      <w:r>
        <w:t xml:space="preserve"> </w:t>
      </w:r>
      <w:r>
        <w:t xml:space="preserve">(each prevents a specific failure mode)</w:t>
      </w:r>
      <w:r>
        <w:t xml:space="preserve"> </w:t>
      </w:r>
      <w:r>
        <w:rPr>
          <w:bCs/>
          <w:b/>
        </w:rPr>
        <w:t xml:space="preserve">but are not jointly shown to be sufficient</w:t>
      </w:r>
      <w:r>
        <w:t xml:space="preserve">. The prescriptive language in Table 5 has been softened accordingly.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er-reviewer-checklist"/>
    <w:p>
      <w:pPr>
        <w:pStyle w:val="Heading2"/>
      </w:pPr>
      <w:r>
        <w:t xml:space="preserve">Per-reviewer checklist</w:t>
      </w:r>
    </w:p>
    <w:bookmarkStart w:id="32" w:name="reviewer-1"/>
    <w:p>
      <w:pPr>
        <w:pStyle w:val="Heading3"/>
      </w:pPr>
      <w:r>
        <w:t xml:space="preserve">Reviewer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a·1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Foundation-model framing vs Pearson-only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scGPT + 3 classical baselines; new orthogonality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§2.2, §3.6, Table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a·2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MVCC on single dataset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Re-ran on six cohorts with anchor ablation; MVCC anchor-invariant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Fig 1, Supp Fig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Unequal RSS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66-point weight simplex sweep at step 0.1; recommendation 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§3.2, Supp Fig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a·4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and Jaccard both in 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reported separately as well as the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§2.3, 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a·5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drift unbounded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drift_norm = min(1, median \|Δrank\| / k)</w:t>
            </w:r>
            <w:r>
              <w:t xml:space="preserve"> </w:t>
            </w:r>
            <w:r>
              <w:t xml:space="preserve">∈ 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 RSS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a·6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 may not transfer to other GRN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five scorers; Table 3 shows the orthogonality; Table 5 includes a per-scorer</w:t>
            </w:r>
            <w:r>
              <w:t xml:space="preserve"> </w:t>
            </w:r>
            <w:r>
              <w:t xml:space="preserve">“</w:t>
            </w:r>
            <w:r>
              <w:t xml:space="preserve">Scorer choice</w:t>
            </w:r>
            <w:r>
              <w:t xml:space="preserve">”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§3.6, Table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b·1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 incomplete (only CSVs and figure 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fragility</w:t>
            </w:r>
            <w:r>
              <w:t xml:space="preserve"> </w:t>
            </w:r>
            <w:r>
              <w:t xml:space="preserve">package +</w:t>
            </w:r>
            <w:r>
              <w:t xml:space="preserve"> </w:t>
            </w:r>
            <w:r>
              <w:rPr>
                <w:rStyle w:val="VerbatimChar"/>
              </w:rPr>
              <w:t xml:space="preserve">make audit</w:t>
            </w:r>
            <w:r>
              <w:t xml:space="preserve"> </w:t>
            </w:r>
            <w:r>
              <w:t xml:space="preserve">now in</w:t>
            </w:r>
            <w:r>
              <w:t xml:space="preserve"> </w:t>
            </w:r>
            <w:r>
              <w:rPr>
                <w:rStyle w:val="VerbatimChar"/>
              </w:rPr>
              <w:t xml:space="preserve">implementation/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</w:t>
            </w:r>
            <w:r>
              <w:t xml:space="preserve"> </w:t>
            </w:r>
            <w:r>
              <w:rPr>
                <w:rStyle w:val="VerbatimChar"/>
              </w:rPr>
              <w:t xml:space="preserve">implementation/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b·2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as proportion vs 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scan at k ∈ {100, 500, 1k, 5k} plus top-1%/5%/10% (Supp Fig S5)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Supp Fig 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76×108 panel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in</w:t>
            </w:r>
            <w:r>
              <w:t xml:space="preserve"> </w:t>
            </w:r>
            <w:r>
              <w:rPr>
                <w:rStyle w:val="VerbatimChar"/>
              </w:rPr>
              <w:t xml:space="preserve">fragility.panels.registry</w:t>
            </w:r>
            <w:r>
              <w:t xml:space="preserve">; full gene list in Supp Table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§2.7, Supp Table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b·4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1B legend overlaps data; error bars referenced but not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1A redrawn with shaded SD bands across 8 bootstraps; Fig 1B is now an MVCC heatmap (no overlapping legend); caption rewritten to match what is plotted. Additionally we just repositioned the legends in Fig 2A, Fig 5A, and Fig 5C below the panels to eliminate any other in-plot overlaps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1, Fig 2, Fig 5</w:t>
            </w:r>
          </w:p>
        </w:tc>
      </w:tr>
    </w:tbl>
    <w:bookmarkEnd w:id="32"/>
    <w:bookmarkStart w:id="33" w:name="reviewer-2"/>
    <w:p>
      <w:pPr>
        <w:pStyle w:val="Heading3"/>
      </w:pPr>
      <w:r>
        <w:t xml:space="preserve">Reviewer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Travaglini external lung + Delorey COVID lung added; six cohorts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(Table 1), §3.1–§3.3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Foundation-model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scGPT included; orthogonality with classical scorers reported as a primary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§2.2, §3.6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benchmarking framework (geneRNBI)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as a natural follow-up extension; immediate switch was out of scope for this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models perform poorly on GRN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evidence is consistent with this — scGPT attention is uncorrelated with classical scorers and exhibits a much higher cell-count requirement (&gt;3,000 cells vs 200–500). Reported as a finding rather than a positive recommendation for foundation-model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§3.6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heavily rewritten and tightened (~30% body trim); structured abstract; OUP template; consistent 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in literature; recent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now references Pratapa 2020 BEELINE, Chen &amp; Mar 2018, Luecken 2022 atlas integration benchmark, Tran 2020 batch-effect benchmark, Heumos 2023 best-practices review, plus newly-added Theodoris 2023 (Geneformer), Hao 2024 (Seurat v5), Squair 2021 (single-cell DE false discoveries)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§1,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AI-agent methodological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§2.10 in main text; full protocol + 27-issue audit in Supp Methods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§2.10, Supp Methods S2</w:t>
            </w:r>
          </w:p>
        </w:tc>
      </w:tr>
    </w:tbl>
    <w:bookmarkEnd w:id="33"/>
    <w:bookmarkStart w:id="34" w:name="reviewer-3"/>
    <w:p>
      <w:pPr>
        <w:pStyle w:val="Heading3"/>
      </w:pPr>
      <w:r>
        <w:t xml:space="preserve">Reviewer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Foundation-model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scGPT now included; we are open to an editor-preferred neutral wording (option proposed in cross-cutting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Poorly structured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rewritten end-to-end with the journal’s structured Motivation / Results / Availability and Implementation / Contact / Supplementary Information labels and an explicit</w:t>
            </w:r>
            <w:r>
              <w:t xml:space="preserve"> </w:t>
            </w:r>
            <w:r>
              <w:t xml:space="preserve">“</w:t>
            </w:r>
            <w:r>
              <w:t xml:space="preserve">Our central findings are that…</w:t>
            </w:r>
            <w:r>
              <w:t xml:space="preserve">”</w:t>
            </w:r>
            <w:r>
              <w:t xml:space="preserve"> </w:t>
            </w:r>
            <w:r>
              <w:t xml:space="preserve">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these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per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given in §2.3 metric definitions; AI-agent rubric in §2.10 + Supp S2. The agent does not adversarially search the metric space — the rubric is fixed in 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§2.3, §2.10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 definitions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every metric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formula + bounded drift in §2.3;</w:t>
            </w:r>
            <w:r>
              <w:t xml:space="preserve"> </w:t>
            </w:r>
            <w:r>
              <w:t xml:space="preserve">“</w:t>
            </w:r>
            <w:r>
              <w:t xml:space="preserve">cleared</w:t>
            </w:r>
            <w:r>
              <w:t xml:space="preserve">”</w:t>
            </w:r>
            <w:r>
              <w:t xml:space="preserve"> </w:t>
            </w:r>
            <w:r>
              <w:t xml:space="preserve">defined explicitly (</w:t>
            </w:r>
            <w:r>
              <w:t xml:space="preserve">“</w:t>
            </w:r>
            <w:r>
              <w:t xml:space="preserve">≥19 permutations, empirical p ≤ 0.05</w:t>
            </w:r>
            <w:r>
              <w:t xml:space="preserve">”</w:t>
            </w:r>
            <w:r>
              <w:t xml:space="preserve">); per-axis metric usage stated in each axis subsection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repo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package +</w:t>
            </w:r>
            <w:r>
              <w:t xml:space="preserve"> </w:t>
            </w:r>
            <w:r>
              <w:rPr>
                <w:rStyle w:val="VerbatimChar"/>
              </w:rPr>
              <w:t xml:space="preserve">make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cross-cutting #7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 (depth-wise variance inflation)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normalization schemes (depth-log1p / size-factor-log1p / Pearson residuals</w:t>
            </w:r>
            <w:r>
              <w:t xml:space="preserve"> </w:t>
            </w:r>
            <w:r>
              <w:t xml:space="preserve">) tested on kidney Axis-2: all give</w:t>
            </w:r>
            <w:r>
              <w:t xml:space="preserve"> </w:t>
            </w:r>
            <w:r>
              <w:rPr>
                <w:iCs/>
                <w:i/>
              </w:rPr>
              <w:t xml:space="preserve">coarse</w:t>
            </w:r>
            <w:r>
              <w:t xml:space="preserve"> </w:t>
            </w:r>
            <w:r>
              <w:t xml:space="preserve">recommendation (Supp Fig S6)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§2.1, §3.2, Supp Fig 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HVG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600 explicitly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in §2.1; gene-dimension sweep over {300, 600, 900, 1,200} in §3.2 — recommendation invariant for 4/5 cohorts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§2.1, 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Top-k low for 600 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per-target top-k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Per-target top-5 and top-10 reported in Supp Fig S5; top-k scan at k ∈ {100, 500, 1k, 5k, 1%, 5%, 10%}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Supp Fig 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 RSS recommendation</w:t>
            </w:r>
            <w:r>
              <w:t xml:space="preserve">”</w:t>
            </w:r>
            <w:r>
              <w:t xml:space="preserve"> </w:t>
            </w: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 explicitly maps RSS thresholds to {fine ≤ 0.30, hybrid ≤ 0.45, else coarse} and describes the per-failed-null 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2.7</w:t>
            </w:r>
            <w:r>
              <w:t xml:space="preserve"> </w:t>
            </w:r>
            <w:r>
              <w:t xml:space="preserve">“</w:t>
            </w:r>
            <w:r>
              <w:t xml:space="preserve">synthesis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to</w:t>
            </w:r>
            <w:r>
              <w:t xml:space="preserve"> </w:t>
            </w:r>
            <w:r>
              <w:t xml:space="preserve">“</w:t>
            </w:r>
            <w:r>
              <w:t xml:space="preserve">Cross-axis analysis</w:t>
            </w:r>
            <w:r>
              <w:t xml:space="preserve">”</w:t>
            </w:r>
            <w:r>
              <w:t xml:space="preserve"> </w:t>
            </w:r>
            <w:r>
              <w:t xml:space="preserve">throughout; the §3.6 (scorer divergence) and §3.7 (cross-axis) Results subsections are now also called</w:t>
            </w:r>
            <w:r>
              <w:t xml:space="preserve"> </w:t>
            </w:r>
            <w:r>
              <w:t xml:space="preserve">“</w:t>
            </w:r>
            <w:r>
              <w:t xml:space="preserve">Cross-cutting analyses</w:t>
            </w:r>
            <w:r>
              <w:t xml:space="preserve">”</w:t>
            </w:r>
            <w:r>
              <w:t xml:space="preserve"> </w:t>
            </w:r>
            <w:r>
              <w:t xml:space="preserve">in the merged Methods §2.9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§2.9, §3.7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Anchor</w:t>
            </w:r>
            <w:r>
              <w:t xml:space="preserve">”</w:t>
            </w:r>
            <w:r>
              <w:t xml:space="preserve"> </w:t>
            </w:r>
            <w:r>
              <w:t xml:space="preserve">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/ 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calls it the</w:t>
            </w:r>
            <w:r>
              <w:t xml:space="preserve"> </w:t>
            </w:r>
            <w:r>
              <w:t xml:space="preserve">“</w:t>
            </w:r>
            <w:r>
              <w:t xml:space="preserve">reference ranking</w:t>
            </w:r>
            <w:r>
              <w:t xml:space="preserve">”</w:t>
            </w:r>
            <w:r>
              <w:t xml:space="preserve"> </w:t>
            </w:r>
            <w:r>
              <w:t xml:space="preserve">/ anchor explicitly and states why a 3,000-cell anchor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 correction — multiple of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states the corrected family explicitly:</w:t>
            </w:r>
            <w:r>
              <w:t xml:space="preserve"> </w:t>
            </w:r>
            <w:r>
              <w:t xml:space="preserve">“</w:t>
            </w:r>
            <w:r>
              <w:t xml:space="preserve">per-(policy, cell-count) p-values testing whether prior-constrained rankings differ from matched random-gene-set controls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Constrained-shuffle over-stringency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Triple-null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degree-preserving bipartite rewire was added as a third, deliberately permissive null. Every cohort clears it at the permutation floor (p = 0.02) while still failing within-coarse at p ≥ 0.22, so the within-coarse failure is genuine over-partitioning, not null over-stringency (Supp Fig S7)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§3.2, Supp Fig 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 gene-dimension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{300, 600, 900, 1,200}: 4/5 cohorts coarse at every HVG count; the fifth (immune-invariant) flips coarse↔hybrid but never to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3.2 plots show only coarse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all five cohorts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2 redesigned: Panel A shows observed RSS for every cohort vs the rank-permutation null with error bars; Panel B is the dual-null pass/fail heatmap; Panel C the top-15 most fine-sensitive coarse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low-overlap example for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Illustrative 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3A’s null-AUC vs Jaccard scatter, coloured by rarity, shows exactly this — high stability can coexist with null-level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227–230 tangential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Removed; methods rewritten as a clean fixed-holdout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tissue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Every dataset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</w:t>
            </w:r>
            <w:r>
              <w:t xml:space="preserve"> </w:t>
            </w:r>
            <w:r>
              <w:t xml:space="preserve">“</w:t>
            </w:r>
            <w:r>
              <w:t xml:space="preserve">every cohort</w:t>
            </w:r>
            <w:r>
              <w:t xml:space="preserve">”</w:t>
            </w:r>
            <w:r>
              <w:t xml:space="preserve"> </w:t>
            </w:r>
            <w:r>
              <w:t xml:space="preserve">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§3.2, §3.7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 1A caption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fully rewritten; matches the actual rendered panels (Pearson scorer, Jaccard vs cells curves, MVCC heatmap)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1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 2A, Fig 2B captions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Captions match what is plotted (observed RSS + null + dual-null heatmap + top-15 most fine-sensitive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2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 3A caption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matches the null-AUC vs Jaccard 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3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 5B caption (</w:t>
            </w:r>
            <w:r>
              <w:t xml:space="preserve">“</w:t>
            </w:r>
            <w:r>
              <w:t xml:space="preserve">filled bars FDR &lt; 0.05</w:t>
            </w:r>
            <w:r>
              <w:t xml:space="preserve">”</w:t>
            </w:r>
            <w:r>
              <w:t xml:space="preserve">) and 5A batch-key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clarified; filled vs unfilled distinction visible (some bars are now correctly grey for non-significant)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5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26 comma after (GRNs)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132 axis’s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axis’</w:t>
            </w:r>
            <w:r>
              <w:t xml:space="preserve">”</w:t>
            </w:r>
            <w:r>
              <w:t xml:space="preserve"> </w:t>
            </w:r>
            <w:r>
              <w:t xml:space="preserve">with apostrophe-only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</w:t>
            </w:r>
          </w:p>
        </w:tc>
      </w:tr>
    </w:tbl>
    <w:bookmarkEnd w:id="34"/>
    <w:bookmarkStart w:id="35" w:name="reviewer-4"/>
    <w:p>
      <w:pPr>
        <w:pStyle w:val="Heading3"/>
      </w:pPr>
      <w:r>
        <w:t xml:space="preserve">Reviewer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Foundation-model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scGPT + 3 classical scorers; orthogonality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§2.2, §3.6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MVCC circularity + tissue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ablation + 6 cohorts + scorer-specific MVCC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§3.1, Fig 1, Supp Fig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 never jointly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Acknowledged in Limitations as next experiment; Table 5 prescriptive language softened to</w:t>
            </w:r>
            <w:r>
              <w:t xml:space="preserve"> </w:t>
            </w:r>
            <w:r>
              <w:t xml:space="preserve">“</w:t>
            </w:r>
            <w:r>
              <w:t xml:space="preserve">guidance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Discussion, Table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interpretability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null (8.8–13.1 σ), 66-point weight simplex sweep, components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§3.2, Supp Fig S2/S3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Reliability-gate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5,880-point grid sweep; gap direction preserved at 100% of grid points; thresholds pre-registered before grid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§3.3, Supp Fig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inconsistency across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panel registry; documented selection criteria; cross-axis conclusions carefully phrased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§2.1, Supp Table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AI-agent protocol underdescribed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§2.10 main text + Supp Methods S2 with prompt rubric, base model, round logs, 27-issue full 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§2.10, Supp Methods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Harmony for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scVI and Scanorama added; three-method comparison reveals Scanorama produces near-random rankings on kidney/lung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§2.8, §3.5, Table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HVG count (600)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in §2.1; sweep in §3.2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§2.1, 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1A error bars not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Redrawn with shaded SD bands across 8 bootstraps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high-cell-only edge support</w:t>
            </w:r>
            <w:r>
              <w:t xml:space="preserve">”</w:t>
            </w:r>
            <w:r>
              <w:t xml:space="preserve"> </w:t>
            </w: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DoRothEA-constrained policies undefined before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§2.4 (Axis 1 methods)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cleared</w:t>
            </w:r>
            <w:r>
              <w:t xml:space="preserve">”</w:t>
            </w:r>
            <w:r>
              <w:t xml:space="preserve"> </w:t>
            </w:r>
            <w:r>
              <w:t xml:space="preserve">null family not formally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§2.3 (</w:t>
            </w:r>
            <w:r>
              <w:t xml:space="preserve">“</w:t>
            </w:r>
            <w:r>
              <w:t xml:space="preserve">≥ 19 permutations, empirical p ≤ 0.05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5A batch-key mapping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clarified; per-tissue per-batch-key labels visible on x-axis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5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scGPT-only as</w:t>
            </w:r>
            <w:r>
              <w:t xml:space="preserve"> </w:t>
            </w:r>
            <w:r>
              <w:t xml:space="preserve">“</w:t>
            </w:r>
            <w:r>
              <w:t xml:space="preserve">foundation models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scGPT is the only foundation model implemented in this revision; we acknowledge this and have added Geneformer</w:t>
            </w:r>
            <w:r>
              <w:t xml:space="preserve"> </w:t>
            </w:r>
            <w:r>
              <w:t xml:space="preserve"> </w:t>
            </w:r>
            <w:r>
              <w:t xml:space="preserve">as a citation alongside scGPT in the introduction so readers see the wider class. Extending the audit to Geneformer / scFoundation is acknowledged as a natural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§1, Discussion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X55f170ada6ad436f4f1e5ca7505cc26770e0681"/>
    <w:p>
      <w:pPr>
        <w:pStyle w:val="Heading2"/>
      </w:pPr>
      <w:r>
        <w:t xml:space="preserve">Numerical headlines that changed between submissions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(original submission)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MVCC &gt; 3,000 cells</w:t>
            </w:r>
            <w:r>
              <w:t xml:space="preserve">”</w:t>
            </w:r>
            <w:r>
              <w:t xml:space="preserve"> </w:t>
            </w:r>
            <w:r>
              <w:t xml:space="preserve">(kidney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Scorer-specific</w:t>
            </w:r>
            <w:r>
              <w:t xml:space="preserve">: 200 cells (Pearson/tree, 4 of 6 cohorts), 500 cells (Pearson, primary immune and Delorey COVID), &gt; 3,000 cells (scGPT attention, anchor-invariant)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RSS 0.276–0.440 (uninterpretable)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0.218–0.402 with empirical null mean ≈ 0.79: every cohort 8.8–13.1 σ below null at p = 0.001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5 datasets default to coarse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of 5 Tabula Sapiens cohorts default to</w:t>
            </w:r>
            <w:r>
              <w:t xml:space="preserve"> </w:t>
            </w:r>
            <w:r>
              <w:rPr>
                <w:bCs/>
                <w:b/>
              </w:rPr>
              <w:t xml:space="preserve">coarse</w:t>
            </w:r>
            <w:r>
              <w:t xml:space="preserve">, immune-invariant to</w:t>
            </w:r>
            <w:r>
              <w:t xml:space="preserve"> </w:t>
            </w:r>
            <w:r>
              <w:rPr>
                <w:bCs/>
                <w:b/>
              </w:rPr>
              <w:t xml:space="preserve">hybrid</w:t>
            </w:r>
            <w:r>
              <w:t xml:space="preserve"> </w:t>
            </w:r>
            <w:r>
              <w:t xml:space="preserve">under primary parameters;</w:t>
            </w:r>
            <w:r>
              <w:t xml:space="preserve"> </w:t>
            </w:r>
            <w:r>
              <w:rPr>
                <w:bCs/>
                <w:b/>
              </w:rPr>
              <w:t xml:space="preserve">all five</w:t>
            </w:r>
            <w:r>
              <w:t xml:space="preserve"> </w:t>
            </w:r>
            <w:r>
              <w:t xml:space="preserve">to coarse or hybrid under every weight choice on the 66-point simplex and every HVG count in {300, 600, 900, 1,200}. Delorey adds a 6th cohort with the lowest raw RSS (0.173) but still failing within-coarse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0% rare vs 18% abundant reliability passage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at primary thresholds;</w:t>
            </w:r>
            <w:r>
              <w:t xml:space="preserve"> </w:t>
            </w:r>
            <w:r>
              <w:rPr>
                <w:bCs/>
                <w:b/>
              </w:rPr>
              <w:t xml:space="preserve">gap direction preserved at 100% of 5,880 threshold combinations</w:t>
            </w:r>
            <w:r>
              <w:t xml:space="preserve">; rare pass rate = 0 at 66.7% of grid points; primary-threshold gap (+0.182) is</w:t>
            </w:r>
            <w:r>
              <w:t xml:space="preserve"> </w:t>
            </w:r>
            <w:r>
              <w:rPr>
                <w:iCs/>
                <w:i/>
              </w:rPr>
              <w:t xml:space="preserve">conservative</w:t>
            </w:r>
            <w:r>
              <w:t xml:space="preserve"> </w:t>
            </w:r>
            <w:r>
              <w:t xml:space="preserve">relative to the grid mean (+0.344)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6–8 donors needed for immune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Cells-per-donor dependent</w:t>
            </w:r>
            <w:r>
              <w:t xml:space="preserve">: 6–8 under strict 300 cells/donor (90%/95% of best); 2–4 under relaxed 200 cells/donor. Both regimes reported; cells-per-donor policy must be pre-registered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Harmony displaces 31–45% of top-500 edges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25–35% panel-restricted at top-500/top-1k under bounded-drift RSS; Harmony rankings remain ≥ 37 σ below the rank-permutation null.</w:t>
            </w:r>
            <w:r>
              <w:t xml:space="preserve"> </w:t>
            </w:r>
            <w:r>
              <w:rPr>
                <w:bCs/>
                <w:b/>
              </w:rPr>
              <w:t xml:space="preserve">scVI moderately perturbs (18–30% sign-flip); Scanorama on kidney/lung produces near-random rankings (44–47% sign-flip, RSS at null mean)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scGPT attention is uncorrelated with classical-scorer rankings</w:t>
            </w:r>
            <w:r>
              <w:t xml:space="preserve"> </w:t>
            </w:r>
            <w:r>
              <w:t xml:space="preserve">on the same cells (ρ ≤ 0.20, top-100 Jaccard ≤ 0.06). Within-scorer fragility profiles do not transfer across scorer families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4e2f8fdcf1b3db0390f1b1370c8dfc3250a4a75"/>
    <w:p>
      <w:pPr>
        <w:pStyle w:val="Heading2"/>
      </w:pPr>
      <w:r>
        <w:t xml:space="preserve">Updates after the first revision response (April 24 → May 3, 2026)</w:t>
      </w:r>
    </w:p>
    <w:p>
      <w:pPr>
        <w:pStyle w:val="FirstParagraph"/>
      </w:pPr>
      <w:r>
        <w:t xml:space="preserve">The following changes were made between the initial revision and the present response, in addition to everything documented above: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Zenodo archival DOI</w:t>
      </w:r>
      <w:r>
        <w:t xml:space="preserve"> </w:t>
      </w:r>
      <w:r>
        <w:t xml:space="preserve">(</w:t>
      </w:r>
      <w:r>
        <w:rPr>
          <w:rStyle w:val="VerbatimChar"/>
        </w:rPr>
        <w:t xml:space="preserve">10.5281/zenodo.20009065</w:t>
      </w:r>
      <w:r>
        <w:t xml:space="preserve">) added to the abstract Availability snippet and to the Data and Code Availability section, addressing the editor’s explicit request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Corresponding-author email</w:t>
      </w:r>
      <w:r>
        <w:t xml:space="preserve"> </w:t>
      </w:r>
      <w:r>
        <w:t xml:space="preserve">updated to ihor.kendiukhov@student.uni-tuebingen.de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oup-authoring-template</w:t>
      </w:r>
      <w:r>
        <w:t xml:space="preserve"> </w:t>
      </w:r>
      <w:r>
        <w:t xml:space="preserve">adopted (</w:t>
      </w:r>
      <w:r>
        <w:rPr>
          <w:rStyle w:val="VerbatimChar"/>
        </w:rPr>
        <w:t xml:space="preserve">[unnumsec, webpdf, contemporary, large, namedate]</w:t>
      </w:r>
      <w:r>
        <w:t xml:space="preserve">); structured abstract,</w:t>
      </w:r>
      <w:r>
        <w:t xml:space="preserve"> </w:t>
      </w:r>
      <w:r>
        <w:rPr>
          <w:rStyle w:val="VerbatimChar"/>
        </w:rPr>
        <w:t xml:space="preserve">\keywords{}</w:t>
      </w:r>
      <w:r>
        <w:t xml:space="preserve">,</w:t>
      </w:r>
      <w:r>
        <w:t xml:space="preserve"> </w:t>
      </w:r>
      <w:r>
        <w:rPr>
          <w:rStyle w:val="VerbatimChar"/>
        </w:rPr>
        <w:t xml:space="preserve">\address{}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\corresp{}</w:t>
      </w:r>
      <w:r>
        <w:t xml:space="preserve">,</w:t>
      </w:r>
      <w:r>
        <w:t xml:space="preserve"> </w:t>
      </w:r>
      <w:r>
        <w:rPr>
          <w:rStyle w:val="VerbatimChar"/>
        </w:rPr>
        <w:t xml:space="preserve">\authormark{}</w:t>
      </w:r>
      <w:r>
        <w:t xml:space="preserve">,</w:t>
      </w:r>
      <w:r>
        <w:t xml:space="preserve"> </w:t>
      </w:r>
      <w:r>
        <w:rPr>
          <w:rStyle w:val="VerbatimChar"/>
        </w:rPr>
        <w:t xml:space="preserve">\ORCID{}</w:t>
      </w:r>
      <w:r>
        <w:t xml:space="preserve">,</w:t>
      </w:r>
      <w:r>
        <w:t xml:space="preserve"> </w:t>
      </w:r>
      <w:r>
        <w:rPr>
          <w:rStyle w:val="VerbatimChar"/>
        </w:rPr>
        <w:t xml:space="preserve">\received/\revised/\accepted</w:t>
      </w:r>
      <w:r>
        <w:t xml:space="preserve"> </w:t>
      </w:r>
      <w:r>
        <w:t xml:space="preserve">macros all populated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Word count</w:t>
      </w:r>
      <w:r>
        <w:t xml:space="preserve"> </w:t>
      </w:r>
      <w:r>
        <w:t xml:space="preserve">reduced from ~8,074 → ~5,771 (body + abstract, excluding figures), within editorial discretion of the 5,000-word soft target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Author Contributions</w:t>
      </w:r>
      <w:r>
        <w:t xml:space="preserve"> </w:t>
      </w:r>
      <w:r>
        <w:t xml:space="preserve">rewritten in CRediT taxonomy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Bibliography expanded from 21 → 35 references</w:t>
      </w:r>
      <w:r>
        <w:t xml:space="preserve">, all verified via PubMed / Crossref / journal of record. Three errors caught and corrected in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bibliography:</w:t>
      </w:r>
    </w:p>
    <w:p>
      <w:pPr>
        <w:numPr>
          <w:ilvl w:val="1"/>
          <w:numId w:val="1008"/>
        </w:numPr>
        <w:pStyle w:val="Compact"/>
      </w:pPr>
      <w:r>
        <w:t xml:space="preserve">Han et al. 2018 (TRRUST v2) — pages were</w:t>
      </w:r>
      <w:r>
        <w:t xml:space="preserve"> </w:t>
      </w:r>
      <w:r>
        <w:rPr>
          <w:rStyle w:val="VerbatimChar"/>
        </w:rPr>
        <w:t xml:space="preserve">D199–D202</w:t>
      </w:r>
      <w:r>
        <w:t xml:space="preserve">; correct</w:t>
      </w:r>
      <w:r>
        <w:t xml:space="preserve"> </w:t>
      </w:r>
      <w:r>
        <w:rPr>
          <w:rStyle w:val="VerbatimChar"/>
        </w:rPr>
        <w:t xml:space="preserve">D380–D386</w:t>
      </w:r>
    </w:p>
    <w:p>
      <w:pPr>
        <w:numPr>
          <w:ilvl w:val="1"/>
          <w:numId w:val="1008"/>
        </w:numPr>
        <w:pStyle w:val="Compact"/>
      </w:pPr>
      <w:r>
        <w:t xml:space="preserve">Moerman et al. 2019 (GRNBoost2) — third author was</w:t>
      </w:r>
      <w:r>
        <w:t xml:space="preserve"> </w:t>
      </w:r>
      <w:r>
        <w:rPr>
          <w:rStyle w:val="VerbatimChar"/>
        </w:rPr>
        <w:t xml:space="preserve">González-Blas, C. B.</w:t>
      </w:r>
      <w:r>
        <w:t xml:space="preserve">; correct full surname</w:t>
      </w:r>
      <w:r>
        <w:t xml:space="preserve"> </w:t>
      </w:r>
      <w:r>
        <w:rPr>
          <w:rStyle w:val="VerbatimChar"/>
        </w:rPr>
        <w:t xml:space="preserve">Bravo González-Blas, C.</w:t>
      </w:r>
    </w:p>
    <w:p>
      <w:pPr>
        <w:numPr>
          <w:ilvl w:val="1"/>
          <w:numId w:val="1008"/>
        </w:numPr>
        <w:pStyle w:val="Compact"/>
      </w:pPr>
      <w:r>
        <w:t xml:space="preserve">Cell papers (Dixit 2016, Replogle 2022, Stuart 2019) — page ranges now include the canonical</w:t>
      </w:r>
      <w:r>
        <w:t xml:space="preserve"> </w:t>
      </w:r>
      <w:r>
        <w:rPr>
          <w:rStyle w:val="VerbatimChar"/>
        </w:rPr>
        <w:t xml:space="preserve">.eXX</w:t>
      </w:r>
      <w:r>
        <w:t xml:space="preserve"> </w:t>
      </w:r>
      <w:r>
        <w:t xml:space="preserve">electronic suffix</w:t>
      </w:r>
    </w:p>
    <w:p>
      <w:pPr>
        <w:numPr>
          <w:ilvl w:val="0"/>
          <w:numId w:val="1000"/>
        </w:numPr>
        <w:pStyle w:val="Compact"/>
      </w:pPr>
      <w:r>
        <w:t xml:space="preserve">New references added: Travaglini2020 (lung atlas, was cited but missing from bib), Margolin2006 (ARACNE), Stuart2019 (Seurat v3 / HVG selection), Traag2019 (Leiden), Kraskov2004 (KSG MI estimator), BenjaminiHochberg1995, Pedregosa2011 (scikit-learn), Theodoris2023 (Geneformer), Heumos2023 (best practices), Replogle2022 (genome-scale Perturb-seq), Squair2021 (single-cell DE false discoveries), Polanski2020 (BBKNN), Haghverdi2018 (MNN), Hao2024 (Seurat v5)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Table 4 layout fixed</w:t>
      </w:r>
      <w:r>
        <w:t xml:space="preserve"> </w:t>
      </w:r>
      <w:r>
        <w:t xml:space="preserve">— was a 4-column</w:t>
      </w:r>
      <w:r>
        <w:t xml:space="preserve"> </w:t>
      </w:r>
      <w:r>
        <w:rPr>
          <w:rStyle w:val="VerbatimChar"/>
        </w:rPr>
        <w:t xml:space="preserve">tabularx{lXlX}</w:t>
      </w:r>
      <w:r>
        <w:t xml:space="preserve"> </w:t>
      </w:r>
      <w:r>
        <w:t xml:space="preserve">whose long Threshold-column text overflowed the OUP 2-column layout, leaving rows nearly empty; restructured to a 3-column</w:t>
      </w:r>
      <w:r>
        <w:t xml:space="preserve"> </w:t>
      </w:r>
      <w:r>
        <w:rPr>
          <w:rStyle w:val="VerbatimChar"/>
        </w:rPr>
        <w:t xml:space="preserve">{l X X}</w:t>
      </w:r>
      <w:r>
        <w:t xml:space="preserve"> </w:t>
      </w:r>
      <w:r>
        <w:t xml:space="preserve">(Axis | Calibrated criterion | Recommendation)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Figure 2A, 5A, 5C legends</w:t>
      </w:r>
      <w:r>
        <w:t xml:space="preserve"> </w:t>
      </w:r>
      <w:r>
        <w:t xml:space="preserve">repositioned below the panels via</w:t>
      </w:r>
      <w:r>
        <w:t xml:space="preserve"> </w:t>
      </w:r>
      <w:r>
        <w:rPr>
          <w:rStyle w:val="VerbatimChar"/>
        </w:rPr>
        <w:t xml:space="preserve">bbox_to_anchor=(0.5, -0.28..-0.32), loc='upper center', ncol=2/3</w:t>
      </w:r>
      <w:r>
        <w:t xml:space="preserve"> </w:t>
      </w:r>
      <w:r>
        <w:t xml:space="preserve">— bars are now fully visible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§2.2 sentence added</w:t>
      </w:r>
      <w:r>
        <w:t xml:space="preserve"> </w:t>
      </w:r>
      <w:r>
        <w:t xml:space="preserve">clarifying that scGPT is used as a</w:t>
      </w:r>
      <w:r>
        <w:t xml:space="preserve"> </w:t>
      </w:r>
      <w:r>
        <w:rPr>
          <w:iCs/>
          <w:i/>
        </w:rPr>
        <w:t xml:space="preserve">frozen pretrained feature extractor</w:t>
      </w:r>
      <w:r>
        <w:t xml:space="preserve"> </w:t>
      </w:r>
      <w:r>
        <w:t xml:space="preserve">(no training is performed in this work) so the journal’s machine-learning training-dataset subsection requirement does not apply</w:t>
      </w:r>
    </w:p>
    <w:p>
      <w:r>
        <w:pict>
          <v:rect style="width:0;height:1.5pt" o:hralign="center" o:hrstd="t" o:hr="t"/>
        </w:pict>
      </w:r>
    </w:p>
    <w:bookmarkEnd w:id="38"/>
    <w:bookmarkStart w:id="39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Every numerical claim, table, and figure in the revised manuscript is reproducible from raw h5ad input via:</w:t>
      </w:r>
    </w:p>
    <w:p>
      <w:pPr>
        <w:pStyle w:val="SourceCode"/>
      </w:pPr>
      <w:r>
        <w:rPr>
          <w:rStyle w:val="VerbatimChar"/>
        </w:rPr>
        <w:t xml:space="preserve">git clone https://github.com/Biodyn-AI/grn-robustness-audit</w:t>
      </w:r>
      <w:r>
        <w:br/>
      </w:r>
      <w:r>
        <w:rPr>
          <w:rStyle w:val="VerbatimChar"/>
        </w:rPr>
        <w:t xml:space="preserve">cd grn-robustness-audit/implementation</w:t>
      </w:r>
      <w:r>
        <w:br/>
      </w:r>
      <w:r>
        <w:rPr>
          <w:rStyle w:val="VerbatimChar"/>
        </w:rPr>
        <w:t xml:space="preserve">pip install -e ".[all]"</w:t>
      </w:r>
      <w:r>
        <w:br/>
      </w:r>
      <w:r>
        <w:rPr>
          <w:rStyle w:val="VerbatimChar"/>
        </w:rPr>
        <w:t xml:space="preserve">make audit OUT=./outputs</w:t>
      </w:r>
    </w:p>
    <w:p>
      <w:pPr>
        <w:pStyle w:val="FirstParagraph"/>
      </w:pPr>
      <w:r>
        <w:t xml:space="preserve">The Zenodo archive at</w:t>
      </w:r>
      <w:r>
        <w:t xml:space="preserve"> </w:t>
      </w:r>
      <w:r>
        <w:rPr>
          <w:rStyle w:val="VerbatimChar"/>
        </w:rPr>
        <w:t xml:space="preserve">10.5281/zenodo.20009065</w:t>
      </w:r>
      <w:r>
        <w:t xml:space="preserve"> </w:t>
      </w:r>
      <w:r>
        <w:t xml:space="preserve">is a frozen snapshot of the code accompanying this submission.</w:t>
      </w:r>
    </w:p>
    <w:p>
      <w:pPr>
        <w:pStyle w:val="BodyText"/>
      </w:pPr>
      <w:r>
        <w:t xml:space="preserve">We are happy to provide any additional analyses or clarifications the editor and reviewers request.</w:t>
      </w:r>
    </w:p>
    <w:p>
      <w:pPr>
        <w:pStyle w:val="BodyText"/>
      </w:pPr>
      <w:r>
        <w:t xml:space="preserve">— Ihor Kendiukhov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doi.org/10.5281/zenodo.20009065" TargetMode="External" /><Relationship Type="http://schemas.openxmlformats.org/officeDocument/2006/relationships/hyperlink" Id="rId20" Target="https://github.com/Biodyn-AI/grn-robustness-aud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5281/zenodo.20009065" TargetMode="External" /><Relationship Type="http://schemas.openxmlformats.org/officeDocument/2006/relationships/hyperlink" Id="rId20" Target="https://github.com/Biodyn-AI/grn-robustness-aud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2026-05-03T17:42:22Z</dcterms:created>
  <dcterms:modified xsi:type="dcterms:W3CDTF">2026-05-03T17:42:22Z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