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Donor-Aware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Mechanistic</w:t>
      </w:r>
      <w:r>
        <w:t xml:space="preserve"> </w:t>
      </w:r>
      <w:r>
        <w:t xml:space="preserve">Interpretability</w:t>
      </w:r>
      <w:r>
        <w:t xml:space="preserve"> </w:t>
      </w:r>
      <w:r>
        <w:t xml:space="preserve">of</w:t>
      </w:r>
      <w:r>
        <w:t xml:space="preserve"> </w:t>
      </w:r>
      <w:r>
        <w:t xml:space="preserve">Aging</w:t>
      </w:r>
      <w:r>
        <w:t xml:space="preserve"> </w:t>
      </w:r>
      <w:r>
        <w:t xml:space="preserve">Signals</w:t>
      </w:r>
      <w:r>
        <w:t xml:space="preserve"> </w:t>
      </w:r>
      <w:r>
        <w:t xml:space="preserve">in</w:t>
      </w:r>
      <w:r>
        <w:t xml:space="preserve"> </w:t>
      </w:r>
      <w:r>
        <w:t xml:space="preserve">Single-Cell</w:t>
      </w:r>
      <w:r>
        <w:t xml:space="preserve"> </w:t>
      </w:r>
      <w:r>
        <w:t xml:space="preserve">Foundation</w:t>
      </w:r>
      <w:r>
        <w:t xml:space="preserve"> </w:t>
      </w:r>
      <w:r>
        <w:t xml:space="preserve">Models</w:t>
      </w:r>
    </w:p>
    <w:p>
      <w:pPr>
        <w:pStyle w:val="Author"/>
      </w:pPr>
      <w:r>
        <w:t xml:space="preserve">Ihor</w:t>
      </w:r>
      <w:r>
        <w:t xml:space="preserve"> </w:t>
      </w:r>
      <w:r>
        <w:t xml:space="preserve">Kendiukhov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br/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Science,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Tübingen,</w:t>
      </w:r>
      <w:r>
        <w:t xml:space="preserve"> </w:t>
      </w:r>
      <w:r>
        <w:t xml:space="preserve">Tübingen,</w:t>
      </w:r>
      <w:r>
        <w:t xml:space="preserve"> </w:t>
      </w:r>
      <w:r>
        <w:t xml:space="preserve">Germany</w:t>
      </w:r>
      <w:r>
        <w:br/>
      </w:r>
      <w:r>
        <w:rPr>
          <w:rStyle w:val="VerbatimChar"/>
        </w:rPr>
        <w:t xml:space="preserve">kendiukhov@gmail.com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31,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Single-cell</w:t>
      </w:r>
      <w:r>
        <w:t xml:space="preserve"> </w:t>
      </w:r>
      <w:r>
        <w:t xml:space="preserve">foundation</w:t>
      </w:r>
      <w:r>
        <w:t xml:space="preserve"> </w:t>
      </w:r>
      <w:r>
        <w:t xml:space="preserve">models</w:t>
      </w:r>
      <w:r>
        <w:t xml:space="preserve"> </w:t>
      </w:r>
      <w:r>
        <w:t xml:space="preserve">may</w:t>
      </w:r>
      <w:r>
        <w:t xml:space="preserve"> </w:t>
      </w:r>
      <w:r>
        <w:t xml:space="preserve">encode</w:t>
      </w:r>
      <w:r>
        <w:t xml:space="preserve"> </w:t>
      </w:r>
      <w:r>
        <w:t xml:space="preserve">aging</w:t>
      </w:r>
      <w:r>
        <w:t xml:space="preserve"> </w:t>
      </w:r>
      <w:r>
        <w:t xml:space="preserve">biology,</w:t>
      </w:r>
      <w:r>
        <w:t xml:space="preserve"> </w:t>
      </w:r>
      <w:r>
        <w:t xml:space="preserve">but</w:t>
      </w:r>
      <w:r>
        <w:t xml:space="preserve"> </w:t>
      </w:r>
      <w:r>
        <w:t xml:space="preserve">apparent</w:t>
      </w:r>
      <w:r>
        <w:t xml:space="preserve"> </w:t>
      </w:r>
      <w:r>
        <w:t xml:space="preserve">signals</w:t>
      </w:r>
      <w:r>
        <w:t xml:space="preserve"> </w:t>
      </w:r>
      <w:r>
        <w:t xml:space="preserve">can</w:t>
      </w:r>
      <w:r>
        <w:t xml:space="preserve"> </w:t>
      </w:r>
      <w:r>
        <w:t xml:space="preserve">easily</w:t>
      </w:r>
      <w:r>
        <w:t xml:space="preserve"> </w:t>
      </w:r>
      <w:r>
        <w:t xml:space="preserve">be</w:t>
      </w:r>
      <w:r>
        <w:t xml:space="preserve"> </w:t>
      </w:r>
      <w:r>
        <w:t xml:space="preserve">distorted</w:t>
      </w:r>
      <w:r>
        <w:t xml:space="preserve"> </w:t>
      </w:r>
      <w:r>
        <w:t xml:space="preserve">by</w:t>
      </w:r>
      <w:r>
        <w:t xml:space="preserve"> </w:t>
      </w:r>
      <w:r>
        <w:t xml:space="preserve">donor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cell-composition</w:t>
      </w:r>
      <w:r>
        <w:t xml:space="preserve"> </w:t>
      </w:r>
      <w:r>
        <w:t xml:space="preserve">differences.</w:t>
      </w:r>
      <w:r>
        <w:t xml:space="preserve"> </w:t>
      </w:r>
      <w:r>
        <w:t xml:space="preserve">We</w:t>
      </w:r>
      <w:r>
        <w:t xml:space="preserve"> </w:t>
      </w: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donor-aware</w:t>
      </w:r>
      <w:r>
        <w:t xml:space="preserve"> </w:t>
      </w:r>
      <w:r>
        <w:t xml:space="preserve">interpretability</w:t>
      </w:r>
      <w:r>
        <w:t xml:space="preserve"> </w:t>
      </w:r>
      <w:r>
        <w:t xml:space="preserve">framework</w:t>
      </w:r>
      <w:r>
        <w:t xml:space="preserve"> </w:t>
      </w:r>
      <w:r>
        <w:t xml:space="preserve">to</w:t>
      </w:r>
      <w:r>
        <w:t xml:space="preserve"> </w:t>
      </w:r>
      <w:r>
        <w:t xml:space="preserve">test</w:t>
      </w:r>
      <w:r>
        <w:t xml:space="preserve"> </w:t>
      </w:r>
      <w:r>
        <w:t xml:space="preserve">aging-related</w:t>
      </w:r>
      <w:r>
        <w:t xml:space="preserve"> </w:t>
      </w:r>
      <w:r>
        <w:t xml:space="preserve">structure</w:t>
      </w:r>
      <w:r>
        <w:t xml:space="preserve"> </w:t>
      </w:r>
      <w:r>
        <w:t xml:space="preserve">in</w:t>
      </w:r>
      <w:r>
        <w:t xml:space="preserve"> </w:t>
      </w:r>
      <w:r>
        <w:t xml:space="preserve">frozen</w:t>
      </w:r>
      <w:r>
        <w:t xml:space="preserve"> </w:t>
      </w:r>
      <w:r>
        <w:t xml:space="preserve">scGPT</w:t>
      </w:r>
      <w:r>
        <w:t xml:space="preserve"> </w:t>
      </w:r>
      <w:r>
        <w:t xml:space="preserve">and</w:t>
      </w:r>
      <w:r>
        <w:t xml:space="preserve"> </w:t>
      </w:r>
      <w:r>
        <w:t xml:space="preserve">Geneformer</w:t>
      </w:r>
      <w:r>
        <w:t xml:space="preserve"> </w:t>
      </w:r>
      <w:r>
        <w:t xml:space="preserve">embeddings</w:t>
      </w:r>
      <w:r>
        <w:t xml:space="preserve"> </w:t>
      </w:r>
      <w:r>
        <w:t xml:space="preserve">from</w:t>
      </w:r>
      <w:r>
        <w:t xml:space="preserve"> </w:t>
      </w:r>
      <w:r>
        <w:t xml:space="preserve">age-labeled</w:t>
      </w:r>
      <w:r>
        <w:t xml:space="preserve"> </w:t>
      </w:r>
      <w:r>
        <w:t xml:space="preserve">human</w:t>
      </w:r>
      <w:r>
        <w:t xml:space="preserve"> </w:t>
      </w:r>
      <w:r>
        <w:t xml:space="preserve">single-cell</w:t>
      </w:r>
      <w:r>
        <w:t xml:space="preserve"> </w:t>
      </w:r>
      <w:r>
        <w:t xml:space="preserve">datasets.</w:t>
      </w:r>
      <w:r>
        <w:t xml:space="preserve"> </w:t>
      </w:r>
      <w:r>
        <w:t xml:space="preserve">The</w:t>
      </w:r>
      <w:r>
        <w:t xml:space="preserve"> </w:t>
      </w:r>
      <w:r>
        <w:t xml:space="preserve">workflow</w:t>
      </w:r>
      <w:r>
        <w:t xml:space="preserve"> </w:t>
      </w:r>
      <w:r>
        <w:t xml:space="preserve">combines</w:t>
      </w:r>
      <w:r>
        <w:t xml:space="preserve"> </w:t>
      </w:r>
      <w:r>
        <w:t xml:space="preserve">donor-held-out</w:t>
      </w:r>
      <w:r>
        <w:t xml:space="preserve"> </w:t>
      </w:r>
      <w:r>
        <w:t xml:space="preserve">age</w:t>
      </w:r>
      <w:r>
        <w:t xml:space="preserve"> </w:t>
      </w:r>
      <w:r>
        <w:t xml:space="preserve">decoding,</w:t>
      </w:r>
      <w:r>
        <w:t xml:space="preserve"> </w:t>
      </w:r>
      <w:r>
        <w:t xml:space="preserve">sparse</w:t>
      </w:r>
      <w:r>
        <w:t xml:space="preserve"> </w:t>
      </w:r>
      <w:r>
        <w:t xml:space="preserve">autoencoder</w:t>
      </w:r>
      <w:r>
        <w:t xml:space="preserve"> </w:t>
      </w:r>
      <w:r>
        <w:t xml:space="preserve">feature</w:t>
      </w:r>
      <w:r>
        <w:t xml:space="preserve"> </w:t>
      </w:r>
      <w:r>
        <w:t xml:space="preserve">discovery,</w:t>
      </w:r>
      <w:r>
        <w:t xml:space="preserve"> </w:t>
      </w:r>
      <w:r>
        <w:t xml:space="preserve">cross-model</w:t>
      </w:r>
      <w:r>
        <w:t xml:space="preserve"> </w:t>
      </w:r>
      <w:r>
        <w:t xml:space="preserve">pathway</w:t>
      </w:r>
      <w:r>
        <w:t xml:space="preserve"> </w:t>
      </w:r>
      <w:r>
        <w:t xml:space="preserve">matching,</w:t>
      </w:r>
      <w:r>
        <w:t xml:space="preserve"> </w:t>
      </w:r>
      <w:r>
        <w:t xml:space="preserve">latent-space</w:t>
      </w:r>
      <w:r>
        <w:t xml:space="preserve"> </w:t>
      </w:r>
      <w:r>
        <w:t xml:space="preserve">intervention</w:t>
      </w:r>
      <w:r>
        <w:t xml:space="preserve"> </w:t>
      </w:r>
      <w:r>
        <w:t xml:space="preserve">tests,</w:t>
      </w:r>
      <w:r>
        <w:t xml:space="preserve"> </w:t>
      </w:r>
      <w:r>
        <w:t xml:space="preserve">donor-bootstrap</w:t>
      </w:r>
      <w:r>
        <w:t xml:space="preserve"> </w:t>
      </w:r>
      <w:r>
        <w:t xml:space="preserve">confidence</w:t>
      </w:r>
      <w:r>
        <w:t xml:space="preserve"> </w:t>
      </w:r>
      <w:r>
        <w:t xml:space="preserve">intervals,</w:t>
      </w:r>
      <w:r>
        <w:t xml:space="preserve"> </w:t>
      </w:r>
      <w:r>
        <w:t xml:space="preserve">and</w:t>
      </w:r>
      <w:r>
        <w:t xml:space="preserve"> </w:t>
      </w:r>
      <w:r>
        <w:t xml:space="preserve">progressively</w:t>
      </w:r>
      <w:r>
        <w:t xml:space="preserve"> </w:t>
      </w:r>
      <w:r>
        <w:t xml:space="preserve">stricter</w:t>
      </w:r>
      <w:r>
        <w:t xml:space="preserve"> </w:t>
      </w:r>
      <w:r>
        <w:t xml:space="preserve">confound</w:t>
      </w:r>
      <w:r>
        <w:t xml:space="preserve"> </w:t>
      </w:r>
      <w:r>
        <w:t xml:space="preserve">controls.</w:t>
      </w:r>
    </w:p>
    <w:p>
      <w:pPr>
        <w:pStyle w:val="Abstract"/>
      </w:pPr>
      <w:r>
        <w:t xml:space="preserve">Across</w:t>
      </w:r>
      <w:r>
        <w:t xml:space="preserve"> </w:t>
      </w:r>
      <w:r>
        <w:t xml:space="preserve">five</w:t>
      </w:r>
      <w:r>
        <w:t xml:space="preserve"> </w:t>
      </w:r>
      <w:r>
        <w:t xml:space="preserve">datasets,</w:t>
      </w:r>
      <w:r>
        <w:t xml:space="preserve"> </w:t>
      </w:r>
      <w:r>
        <w:t xml:space="preserve">frozen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detectable</w:t>
      </w:r>
      <w:r>
        <w:t xml:space="preserve"> </w:t>
      </w:r>
      <w:r>
        <w:t xml:space="preserve">age</w:t>
      </w:r>
      <w:r>
        <w:t xml:space="preserve"> </w:t>
      </w:r>
      <w:r>
        <w:t xml:space="preserve">information,</w:t>
      </w:r>
      <w:r>
        <w:t xml:space="preserve"> </w:t>
      </w:r>
      <w:r>
        <w:t xml:space="preserve">with</w:t>
      </w:r>
      <w:r>
        <w:t xml:space="preserve"> </w:t>
      </w:r>
      <w:r>
        <w:t xml:space="preserve">best</w:t>
      </w:r>
      <w:r>
        <w:t xml:space="preserve"> </w:t>
      </w:r>
      <w:r>
        <w:t xml:space="preserve">donor-aware</w:t>
      </w:r>
      <w:r>
        <w:t xml:space="preserve"> </w:t>
      </w:r>
      <w:r>
        <w:t xml:space="preserve">balanced</w:t>
      </w:r>
      <w:r>
        <w:t xml:space="preserve"> </w:t>
      </w:r>
      <w:r>
        <w:t xml:space="preserve">accuracy</w:t>
      </w:r>
      <w:r>
        <w:t xml:space="preserve"> </w:t>
      </w:r>
      <w:r>
        <w:t xml:space="preserve">0.384.</w:t>
      </w:r>
      <w:r>
        <w:t xml:space="preserve"> </w:t>
      </w:r>
      <w:r>
        <w:t xml:space="preserve">Sparse</w:t>
      </w:r>
      <w:r>
        <w:t xml:space="preserve"> </w:t>
      </w:r>
      <w:r>
        <w:t xml:space="preserve">autoencoders</w:t>
      </w:r>
      <w:r>
        <w:t xml:space="preserve"> </w:t>
      </w:r>
      <w:r>
        <w:t xml:space="preserve">recovered</w:t>
      </w:r>
      <w:r>
        <w:t xml:space="preserve"> </w:t>
      </w:r>
      <w:r>
        <w:t xml:space="preserve">132</w:t>
      </w:r>
      <w:r>
        <w:t xml:space="preserve"> </w:t>
      </w:r>
      <w:r>
        <w:t xml:space="preserve">donor-aware</w:t>
      </w:r>
      <w:r>
        <w:t xml:space="preserve"> </w:t>
      </w:r>
      <w:r>
        <w:t xml:space="preserve">robust</w:t>
      </w:r>
      <w:r>
        <w:t xml:space="preserve"> </w:t>
      </w:r>
      <w:r>
        <w:t xml:space="preserve">features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core</w:t>
      </w:r>
      <w:r>
        <w:t xml:space="preserve"> </w:t>
      </w:r>
      <w:r>
        <w:t xml:space="preserve">AIDA</w:t>
      </w:r>
      <w:r>
        <w:t xml:space="preserve"> </w:t>
      </w:r>
      <w:r>
        <w:t xml:space="preserve">cohorts,</w:t>
      </w:r>
      <w:r>
        <w:t xml:space="preserve"> </w:t>
      </w:r>
      <w:r>
        <w:t xml:space="preserve">and</w:t>
      </w:r>
      <w:r>
        <w:t xml:space="preserve"> </w:t>
      </w:r>
      <w:r>
        <w:t xml:space="preserve">cross-model</w:t>
      </w:r>
      <w:r>
        <w:t xml:space="preserve"> </w:t>
      </w:r>
      <w:r>
        <w:t xml:space="preserve">pathway</w:t>
      </w:r>
      <w:r>
        <w:t xml:space="preserve"> </w:t>
      </w:r>
      <w:r>
        <w:t xml:space="preserve">matching</w:t>
      </w:r>
      <w:r>
        <w:t xml:space="preserve"> </w:t>
      </w:r>
      <w:r>
        <w:t xml:space="preserve">yielded</w:t>
      </w:r>
      <w:r>
        <w:t xml:space="preserve"> </w:t>
      </w:r>
      <w:r>
        <w:t xml:space="preserve">193</w:t>
      </w:r>
      <w:r>
        <w:t xml:space="preserve"> </w:t>
      </w:r>
      <w:r>
        <w:t xml:space="preserve">paired</w:t>
      </w:r>
      <w:r>
        <w:t xml:space="preserve"> </w:t>
      </w:r>
      <w:r>
        <w:t xml:space="preserve">features,</w:t>
      </w:r>
      <w:r>
        <w:t xml:space="preserve"> </w:t>
      </w:r>
      <w:r>
        <w:t xml:space="preserve">most</w:t>
      </w:r>
      <w:r>
        <w:t xml:space="preserve"> </w:t>
      </w:r>
      <w:r>
        <w:t xml:space="preserve">strongly</w:t>
      </w:r>
      <w:r>
        <w:t xml:space="preserve"> </w:t>
      </w:r>
      <w:r>
        <w:t xml:space="preserve">concentrated</w:t>
      </w:r>
      <w:r>
        <w:t xml:space="preserve"> </w:t>
      </w:r>
      <w:r>
        <w:t xml:space="preserve">in</w:t>
      </w:r>
      <w:r>
        <w:t xml:space="preserve"> </w:t>
      </w:r>
      <w:r>
        <w:t xml:space="preserve">inflammation</w:t>
      </w:r>
      <w:r>
        <w:t xml:space="preserve"> </w:t>
      </w:r>
      <w:r>
        <w:t xml:space="preserve">/</w:t>
      </w:r>
      <w:r>
        <w:t xml:space="preserve"> </w:t>
      </w:r>
      <w:r>
        <w:t xml:space="preserve">NF-kappaB</w:t>
      </w:r>
      <w:r>
        <w:t xml:space="preserve"> </w:t>
      </w:r>
      <w:r>
        <w:t xml:space="preserve">programs</w:t>
      </w:r>
      <w:r>
        <w:t xml:space="preserve"> </w:t>
      </w:r>
      <w:r>
        <w:t xml:space="preserve">in</w:t>
      </w:r>
      <w:r>
        <w:t xml:space="preserve"> </w:t>
      </w:r>
      <w:r>
        <w:t xml:space="preserve">AIDA</w:t>
      </w:r>
      <w:r>
        <w:t xml:space="preserve"> </w:t>
      </w:r>
      <w:r>
        <w:t xml:space="preserve">phase</w:t>
      </w:r>
      <w:r>
        <w:t xml:space="preserve"> </w:t>
      </w:r>
      <w:r>
        <w:t xml:space="preserve">1</w:t>
      </w:r>
      <w:r>
        <w:t xml:space="preserve"> </w:t>
      </w:r>
      <w:r>
        <w:t xml:space="preserve">v2.</w:t>
      </w:r>
      <w:r>
        <w:t xml:space="preserve"> </w:t>
      </w:r>
      <w:r>
        <w:t xml:space="preserve">The</w:t>
      </w:r>
      <w:r>
        <w:t xml:space="preserve"> </w:t>
      </w:r>
      <w:r>
        <w:t xml:space="preserve">clearest</w:t>
      </w:r>
      <w:r>
        <w:t xml:space="preserve"> </w:t>
      </w:r>
      <w:r>
        <w:t xml:space="preserve">positive</w:t>
      </w:r>
      <w:r>
        <w:t xml:space="preserve"> </w:t>
      </w:r>
      <w:r>
        <w:t xml:space="preserve">intervention</w:t>
      </w:r>
      <w:r>
        <w:t xml:space="preserve"> </w:t>
      </w:r>
      <w:r>
        <w:t xml:space="preserve">result</w:t>
      </w:r>
      <w:r>
        <w:t xml:space="preserve"> </w:t>
      </w:r>
      <w:r>
        <w:t xml:space="preserve">appeared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Geneformer</w:t>
      </w:r>
      <w:r>
        <w:t xml:space="preserve"> </w:t>
      </w:r>
      <w:r>
        <w:t xml:space="preserve">inflammation</w:t>
      </w:r>
      <w:r>
        <w:t xml:space="preserve"> </w:t>
      </w:r>
      <w:r>
        <w:t xml:space="preserve">branch:</w:t>
      </w:r>
      <w:r>
        <w:t xml:space="preserve"> </w:t>
      </w:r>
      <w:r>
        <w:t xml:space="preserve">old-versus-random</w:t>
      </w:r>
      <w:r>
        <w:t xml:space="preserve"> </w:t>
      </w:r>
      <w:r>
        <w:t xml:space="preserve">and</w:t>
      </w:r>
      <w:r>
        <w:t xml:space="preserve"> </w:t>
      </w:r>
      <w:r>
        <w:t xml:space="preserve">old-versus-young</w:t>
      </w:r>
      <w:r>
        <w:t xml:space="preserve"> </w:t>
      </w:r>
      <w:r>
        <w:t xml:space="preserve">expected-age</w:t>
      </w:r>
      <w:r>
        <w:t xml:space="preserve"> </w:t>
      </w:r>
      <w:r>
        <w:t xml:space="preserve">contrasts</w:t>
      </w:r>
      <w:r>
        <w:t xml:space="preserve"> </w:t>
      </w:r>
      <w:r>
        <w:t xml:space="preserve">remained</w:t>
      </w:r>
      <w:r>
        <w:t xml:space="preserve"> </w:t>
      </w:r>
      <w:r>
        <w:t xml:space="preserve">significant</w:t>
      </w:r>
      <w:r>
        <w:t xml:space="preserve"> </w:t>
      </w:r>
      <w:r>
        <w:t xml:space="preserve">after</w:t>
      </w:r>
      <w:r>
        <w:t xml:space="preserve"> </w:t>
      </w:r>
      <w:r>
        <w:t xml:space="preserve">split</w:t>
      </w:r>
      <w:r>
        <w:t xml:space="preserve"> </w:t>
      </w:r>
      <w:r>
        <w:t xml:space="preserve">expansion</w:t>
      </w:r>
      <w:r>
        <w:t xml:space="preserve"> </w:t>
      </w:r>
      <w:r>
        <w:t xml:space="preserve">and</w:t>
      </w:r>
      <w:r>
        <w:t xml:space="preserve"> </w:t>
      </w:r>
      <w:r>
        <w:t xml:space="preserve">donor-threshold</w:t>
      </w:r>
      <w:r>
        <w:t xml:space="preserve"> </w:t>
      </w:r>
      <w:r>
        <w:t xml:space="preserve">tightening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400</w:t>
      </w:r>
      <w:r>
        <w:t xml:space="preserve"> </w:t>
      </w:r>
      <w:r>
        <w:t xml:space="preserve">donors.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monocyte-restricted</w:t>
      </w:r>
      <w:r>
        <w:t xml:space="preserve"> </w:t>
      </w:r>
      <w:r>
        <w:t xml:space="preserve">analysis</w:t>
      </w:r>
      <w:r>
        <w:t xml:space="preserve"> </w:t>
      </w:r>
      <w:r>
        <w:t xml:space="preserve">on</w:t>
      </w:r>
      <w:r>
        <w:t xml:space="preserve"> </w:t>
      </w:r>
      <w:r>
        <w:t xml:space="preserve">AIDA</w:t>
      </w:r>
      <w:r>
        <w:t xml:space="preserve"> </w:t>
      </w:r>
      <w:r>
        <w:t xml:space="preserve">phase</w:t>
      </w:r>
      <w:r>
        <w:t xml:space="preserve"> </w:t>
      </w:r>
      <w:r>
        <w:t xml:space="preserve">1</w:t>
      </w:r>
      <w:r>
        <w:t xml:space="preserve"> </w:t>
      </w:r>
      <w:r>
        <w:t xml:space="preserve">v1,</w:t>
      </w:r>
      <w:r>
        <w:t xml:space="preserve"> </w:t>
      </w:r>
      <w:r>
        <w:t xml:space="preserve">both</w:t>
      </w:r>
      <w:r>
        <w:t xml:space="preserve"> </w:t>
      </w:r>
      <w:r>
        <w:t xml:space="preserve">scGPT</w:t>
      </w:r>
      <w:r>
        <w:t xml:space="preserve"> </w:t>
      </w:r>
      <w:r>
        <w:t xml:space="preserve">and</w:t>
      </w:r>
      <w:r>
        <w:t xml:space="preserve"> </w:t>
      </w:r>
      <w:r>
        <w:t xml:space="preserve">Geneformer</w:t>
      </w:r>
      <w:r>
        <w:t xml:space="preserve"> </w:t>
      </w:r>
      <w:r>
        <w:t xml:space="preserve">also</w:t>
      </w:r>
      <w:r>
        <w:t xml:space="preserve"> </w:t>
      </w:r>
      <w:r>
        <w:t xml:space="preserve">showed</w:t>
      </w:r>
      <w:r>
        <w:t xml:space="preserve"> </w:t>
      </w:r>
      <w:r>
        <w:t xml:space="preserve">positive</w:t>
      </w:r>
      <w:r>
        <w:t xml:space="preserve"> </w:t>
      </w:r>
      <w:r>
        <w:t xml:space="preserve">old-versus-random</w:t>
      </w:r>
      <w:r>
        <w:t xml:space="preserve"> </w:t>
      </w:r>
      <w:r>
        <w:t xml:space="preserve">responses</w:t>
      </w:r>
      <w:r>
        <w:t xml:space="preserve"> </w:t>
      </w:r>
      <w:r>
        <w:t xml:space="preserve">at</w:t>
      </w:r>
      <w:r>
        <w:t xml:space="preserve"> </w:t>
      </w:r>
      <w:r>
        <w:t xml:space="preserve">intervention</w:t>
      </w:r>
      <w:r>
        <w:t xml:space="preserve"> </w:t>
      </w:r>
      <w:r>
        <w:t xml:space="preserve">scale</w:t>
      </w:r>
      <w:r>
        <w:t xml:space="preserve"> </w:t>
      </w:r>
      <w:r>
        <w:t xml:space="preserve">2.0.</w:t>
      </w:r>
    </w:p>
    <w:p>
      <w:pPr>
        <w:pStyle w:val="Abstract"/>
      </w:pP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strictest</w:t>
      </w:r>
      <w:r>
        <w:t xml:space="preserve"> </w:t>
      </w:r>
      <w:r>
        <w:t xml:space="preserve">control,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strongest</w:t>
      </w:r>
      <w:r>
        <w:t xml:space="preserve"> </w:t>
      </w:r>
      <w:r>
        <w:t xml:space="preserve">global</w:t>
      </w:r>
      <w:r>
        <w:t xml:space="preserve"> </w:t>
      </w:r>
      <w:r>
        <w:t xml:space="preserve">branch</w:t>
      </w:r>
      <w:r>
        <w:t xml:space="preserve"> </w:t>
      </w:r>
      <w:r>
        <w:t xml:space="preserve">weakened.</w:t>
      </w:r>
      <w:r>
        <w:t xml:space="preserve"> </w:t>
      </w:r>
      <w:r>
        <w:t xml:space="preserve">Fully</w:t>
      </w:r>
      <w:r>
        <w:t xml:space="preserve"> </w:t>
      </w:r>
      <w:r>
        <w:t xml:space="preserve">composition-matched</w:t>
      </w:r>
      <w:r>
        <w:t xml:space="preserve"> </w:t>
      </w:r>
      <w:r>
        <w:t xml:space="preserve">forward-pass</w:t>
      </w:r>
      <w:r>
        <w:t xml:space="preserve"> </w:t>
      </w:r>
      <w:r>
        <w:t xml:space="preserve">reruns</w:t>
      </w:r>
      <w:r>
        <w:t xml:space="preserve"> </w:t>
      </w:r>
      <w:r>
        <w:t xml:space="preserve">eliminated</w:t>
      </w:r>
      <w:r>
        <w:t xml:space="preserve"> </w:t>
      </w:r>
      <w:r>
        <w:t xml:space="preserve">full</w:t>
      </w:r>
      <w:r>
        <w:t xml:space="preserve"> </w:t>
      </w:r>
      <w:r>
        <w:t xml:space="preserve">strict</w:t>
      </w:r>
      <w:r>
        <w:t xml:space="preserve"> </w:t>
      </w:r>
      <w:r>
        <w:t xml:space="preserve">replication,</w:t>
      </w:r>
      <w:r>
        <w:t xml:space="preserve"> </w:t>
      </w:r>
      <w:r>
        <w:t xml:space="preserve">with</w:t>
      </w:r>
      <w:r>
        <w:t xml:space="preserve"> </w:t>
      </w:r>
      <w:r>
        <w:t xml:space="preserve">0</w:t>
      </w:r>
      <w:r>
        <w:t xml:space="preserve"> </w:t>
      </w:r>
      <w:r>
        <w:t xml:space="preserve">of</w:t>
      </w:r>
      <w:r>
        <w:t xml:space="preserve"> </w:t>
      </w:r>
      <w:r>
        <w:t xml:space="preserve">4</w:t>
      </w:r>
      <w:r>
        <w:t xml:space="preserve"> </w:t>
      </w:r>
      <w:r>
        <w:t xml:space="preserve">matched-seed</w:t>
      </w:r>
      <w:r>
        <w:t xml:space="preserve"> </w:t>
      </w:r>
      <w:r>
        <w:t xml:space="preserve">reruns</w:t>
      </w:r>
      <w:r>
        <w:t xml:space="preserve"> </w:t>
      </w:r>
      <w:r>
        <w:t xml:space="preserve">passing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claim</w:t>
      </w:r>
      <w:r>
        <w:t xml:space="preserve"> </w:t>
      </w:r>
      <w:r>
        <w:t xml:space="preserve">gate.</w:t>
      </w:r>
      <w:r>
        <w:t xml:space="preserve"> </w:t>
      </w:r>
      <w:r>
        <w:t xml:space="preserve">These</w:t>
      </w:r>
      <w:r>
        <w:t xml:space="preserve"> </w:t>
      </w:r>
      <w:r>
        <w:t xml:space="preserve">results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frozen</w:t>
      </w:r>
      <w:r>
        <w:t xml:space="preserve"> </w:t>
      </w:r>
      <w:r>
        <w:t xml:space="preserve">single-cell</w:t>
      </w:r>
      <w:r>
        <w:t xml:space="preserve"> </w:t>
      </w:r>
      <w:r>
        <w:t xml:space="preserve">foundation</w:t>
      </w:r>
      <w:r>
        <w:t xml:space="preserve"> </w:t>
      </w:r>
      <w:r>
        <w:t xml:space="preserve">models</w:t>
      </w:r>
      <w:r>
        <w:t xml:space="preserve"> </w:t>
      </w:r>
      <w:r>
        <w:t xml:space="preserve">do</w:t>
      </w:r>
      <w:r>
        <w:t xml:space="preserve"> </w:t>
      </w:r>
      <w:r>
        <w:t xml:space="preserve">contain</w:t>
      </w:r>
      <w:r>
        <w:t xml:space="preserve"> </w:t>
      </w:r>
      <w:r>
        <w:t xml:space="preserve">biologically</w:t>
      </w:r>
      <w:r>
        <w:t xml:space="preserve"> </w:t>
      </w:r>
      <w:r>
        <w:t xml:space="preserve">coherent</w:t>
      </w:r>
      <w:r>
        <w:t xml:space="preserve"> </w:t>
      </w:r>
      <w:r>
        <w:t xml:space="preserve">aging-related</w:t>
      </w:r>
      <w:r>
        <w:t xml:space="preserve"> </w:t>
      </w:r>
      <w:r>
        <w:t xml:space="preserve">structure,</w:t>
      </w:r>
      <w:r>
        <w:t xml:space="preserve"> </w:t>
      </w:r>
      <w:r>
        <w:t xml:space="preserve">especially</w:t>
      </w:r>
      <w:r>
        <w:t xml:space="preserve"> </w:t>
      </w:r>
      <w:r>
        <w:t xml:space="preserve">around</w:t>
      </w:r>
      <w:r>
        <w:t xml:space="preserve"> </w:t>
      </w:r>
      <w:r>
        <w:t xml:space="preserve">inflammatory</w:t>
      </w:r>
      <w:r>
        <w:t xml:space="preserve"> </w:t>
      </w:r>
      <w:r>
        <w:t xml:space="preserve">programs,</w:t>
      </w:r>
      <w:r>
        <w:t xml:space="preserve"> </w:t>
      </w:r>
      <w:r>
        <w:t xml:space="preserve">but</w:t>
      </w:r>
      <w:r>
        <w:t xml:space="preserve"> </w:t>
      </w:r>
      <w:r>
        <w:t xml:space="preserve">they</w:t>
      </w:r>
      <w:r>
        <w:t xml:space="preserve"> </w:t>
      </w:r>
      <w:r>
        <w:t xml:space="preserve">also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donor-aware</w:t>
      </w:r>
      <w:r>
        <w:t xml:space="preserve"> </w:t>
      </w:r>
      <w:r>
        <w:t xml:space="preserve">and</w:t>
      </w:r>
      <w:r>
        <w:t xml:space="preserve"> </w:t>
      </w:r>
      <w:r>
        <w:t xml:space="preserve">composition-aware</w:t>
      </w:r>
      <w:r>
        <w:t xml:space="preserve"> </w:t>
      </w:r>
      <w:r>
        <w:t xml:space="preserve">stress</w:t>
      </w:r>
      <w:r>
        <w:t xml:space="preserve"> </w:t>
      </w:r>
      <w:r>
        <w:t xml:space="preserve">tests</w:t>
      </w:r>
      <w:r>
        <w:t xml:space="preserve"> </w:t>
      </w:r>
      <w:r>
        <w:t xml:space="preserve">are</w:t>
      </w:r>
      <w:r>
        <w:t xml:space="preserve"> </w:t>
      </w:r>
      <w:r>
        <w:t xml:space="preserve">essential</w:t>
      </w:r>
      <w:r>
        <w:t xml:space="preserve"> </w:t>
      </w:r>
      <w:r>
        <w:t xml:space="preserve">before</w:t>
      </w:r>
      <w:r>
        <w:t xml:space="preserve"> </w:t>
      </w:r>
      <w:r>
        <w:t xml:space="preserve">treating</w:t>
      </w:r>
      <w:r>
        <w:t xml:space="preserve"> </w:t>
      </w:r>
      <w:r>
        <w:t xml:space="preserve">those</w:t>
      </w:r>
      <w:r>
        <w:t xml:space="preserve"> </w:t>
      </w:r>
      <w:r>
        <w:t xml:space="preserve">patterns</w:t>
      </w:r>
      <w:r>
        <w:t xml:space="preserve"> </w:t>
      </w:r>
      <w:r>
        <w:t xml:space="preserve">as</w:t>
      </w:r>
      <w:r>
        <w:t xml:space="preserve"> </w:t>
      </w:r>
      <w:r>
        <w:t xml:space="preserve">robust</w:t>
      </w:r>
      <w:r>
        <w:t xml:space="preserve"> </w:t>
      </w:r>
      <w:r>
        <w:t xml:space="preserve">mechanisms.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aging; biogerontology; single-cell transcriptomics; foundation models; mechanistic interpretability; inflammation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Aging does not appear as a single transcriptomic program. Instead, it emerges through shifts in immune activation, stress response, proteostasis, and cell composition that vary across cell types and cohorts. Single-cell foundation models compress these patterns into latent representations, which raises an attractive question for biogerontology: do those latent spaces contain interpretable aging biology, or only weak predictive signal? Two recent foundation models for single-cell transcriptomics, Geneformer</w:t>
      </w:r>
      <w:r>
        <w:t xml:space="preserve"> </w:t>
      </w:r>
      <w:r>
        <w:t xml:space="preserve">(Theodoris et al. 2023)</w:t>
      </w:r>
      <w:r>
        <w:t xml:space="preserve"> </w:t>
      </w:r>
      <w:r>
        <w:t xml:space="preserve">and scGPT</w:t>
      </w:r>
      <w:r>
        <w:t xml:space="preserve"> </w:t>
      </w:r>
      <w:r>
        <w:t xml:space="preserve">(Cui et al. 2024)</w:t>
      </w:r>
      <w:r>
        <w:t xml:space="preserve">, provide suitable frozen backbones for testing that question.</w:t>
      </w:r>
    </w:p>
    <w:p>
      <w:pPr>
        <w:pStyle w:val="BodyText"/>
      </w:pPr>
      <w:r>
        <w:t xml:space="preserve">This distinction matters because age can be decodable without supporting a defensible biological mechanism. Donor identity, cell-type imbalance, and cohort-specific composition shifts can all create apparent aging signals that disappear under stronger controls. We therefore focused on a harder target: not just whether age can be decoded from frozen embeddings, but whether candidate aging programs remain directional, biologically coherent, and donor-aware under increasingly strict stress tests.</w:t>
      </w:r>
    </w:p>
    <w:bookmarkEnd w:id="20"/>
    <w:bookmarkStart w:id="25" w:name="methods"/>
    <w:p>
      <w:pPr>
        <w:pStyle w:val="Heading1"/>
      </w:pPr>
      <w:r>
        <w:t xml:space="preserve">Methods</w:t>
      </w:r>
    </w:p>
    <w:bookmarkStart w:id="2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Core analyses centered on age-labeled human immune single-cell data already available in-project, with primary focus on AIDA phase 1 v1 and AIDA phase 1 v2. External and reference datasets included Tabula Sapiens-derived assets</w:t>
      </w:r>
      <w:r>
        <w:t xml:space="preserve"> </w:t>
      </w:r>
      <w:r>
        <w:t xml:space="preserve">(Jones et al. 2022)</w:t>
      </w:r>
      <w:r>
        <w:t xml:space="preserve">, the Yazar immune single-cell eQTL cohort</w:t>
      </w:r>
      <w:r>
        <w:t xml:space="preserve"> </w:t>
      </w:r>
      <w:r>
        <w:t xml:space="preserve">(Yazar et al. 2022)</w:t>
      </w:r>
      <w:r>
        <w:t xml:space="preserve">, and Allen immune aging-derived subsets.</w:t>
      </w:r>
    </w:p>
    <w:p>
      <w:pPr>
        <w:pStyle w:val="BodyText"/>
      </w:pPr>
      <w:r>
        <w:t xml:space="preserve">The strongest-branch analyses were performed on AIDA phase 1 v2, which had the largest donor support in the deep-dive stage (</w:t>
      </w:r>
      <m:oMath>
        <m:r>
          <m:t>n</m:t>
        </m:r>
        <m:r>
          <m:rPr>
            <m:sty m:val="p"/>
          </m:rPr>
          <m:t>≈</m:t>
        </m:r>
        <m:r>
          <m:t>424</m:t>
        </m:r>
      </m:oMath>
      <w:r>
        <w:t xml:space="preserve"> </w:t>
      </w:r>
      <w:r>
        <w:t xml:space="preserve">in the baseline expanded-split run and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333</m:t>
        </m:r>
      </m:oMath>
      <w:r>
        <w:t xml:space="preserve">–340 in the composition-matched reruns).</w:t>
      </w:r>
    </w:p>
    <w:bookmarkEnd w:id="21"/>
    <w:bookmarkStart w:id="22" w:name="models"/>
    <w:p>
      <w:pPr>
        <w:pStyle w:val="Heading2"/>
      </w:pPr>
      <w:r>
        <w:t xml:space="preserve">Models</w:t>
      </w:r>
    </w:p>
    <w:p>
      <w:pPr>
        <w:pStyle w:val="FirstParagraph"/>
      </w:pPr>
      <w:r>
        <w:t xml:space="preserve">We used frozen representations from: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scGPT</w:t>
      </w:r>
      <w:r>
        <w:t xml:space="preserve"> </w:t>
      </w:r>
      <w:r>
        <w:t xml:space="preserve">(contextual layer</w:t>
      </w:r>
      <w:r>
        <w:t xml:space="preserve"> </w:t>
      </w:r>
      <w:r>
        <w:rPr>
          <w:rStyle w:val="VerbatimChar"/>
        </w:rPr>
        <w:t xml:space="preserve">scgpt_layer_09</w:t>
      </w:r>
      <w:r>
        <w:t xml:space="preserve">)</w:t>
      </w:r>
      <w:r>
        <w:t xml:space="preserve"> </w:t>
      </w:r>
      <w:r>
        <w:t xml:space="preserve">(Cui et al. 2024)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Geneformer</w:t>
      </w:r>
      <w:r>
        <w:t xml:space="preserve"> </w:t>
      </w:r>
      <w:r>
        <w:t xml:space="preserve">(contextual representation)</w:t>
      </w:r>
      <w:r>
        <w:t xml:space="preserve"> </w:t>
      </w:r>
      <w:r>
        <w:t xml:space="preserve">(Theodoris et al. 2023)</w:t>
      </w:r>
    </w:p>
    <w:p>
      <w:pPr>
        <w:pStyle w:val="FirstParagraph"/>
      </w:pPr>
      <w:r>
        <w:t xml:space="preserve">Neither model was fine-tuned for age prediction in the core pipeline.</w:t>
      </w:r>
    </w:p>
    <w:bookmarkEnd w:id="22"/>
    <w:bookmarkStart w:id="23" w:name="interpretability-workflow"/>
    <w:p>
      <w:pPr>
        <w:pStyle w:val="Heading2"/>
      </w:pPr>
      <w:r>
        <w:t xml:space="preserve">Interpretability workflow</w:t>
      </w:r>
    </w:p>
    <w:p>
      <w:pPr>
        <w:pStyle w:val="FirstParagraph"/>
      </w:pPr>
      <w:r>
        <w:t xml:space="preserve">The analysis proceeded in four blocks. First, we asked whether age-related signal was present at all, using donor-held-out linear probes and simple manifold diagnostics (Stages 1–2). Second, we searched for interpretable latent structure using sparse autoencoders and cross-model pathway matching (Stages 3–4), motivated by sparse dictionary learning frameworks</w:t>
      </w:r>
      <w:r>
        <w:t xml:space="preserve"> </w:t>
      </w:r>
      <w:r>
        <w:t xml:space="preserve">(Bricken et al. 2023; Templeton et al. 2024)</w:t>
      </w:r>
      <w:r>
        <w:t xml:space="preserve">. Third, we tested candidate pathways with targeted interventions, donor-bootstrap confidence intervals, and conservative promotion gates (Stages 5–8). Finally, we stress-tested the strongest surviving branch with donor-threshold sweeps, donor-composition reweighting, fully composition-matched reruns, and multi-seed matched reruns (Stages 9–11).</w:t>
      </w:r>
    </w:p>
    <w:p>
      <w:pPr>
        <w:pStyle w:val="BodyText"/>
      </w:pPr>
      <w:r>
        <w:t xml:space="preserve">Bootstrap confidence intervals used nonparametric donor resampling</w:t>
      </w:r>
      <w:r>
        <w:t xml:space="preserve"> </w:t>
      </w:r>
      <w:r>
        <w:t xml:space="preserve">(Efron 1979)</w:t>
      </w:r>
      <w:r>
        <w:t xml:space="preserve">.</w:t>
      </w:r>
    </w:p>
    <w:bookmarkEnd w:id="23"/>
    <w:bookmarkStart w:id="24" w:name="strict-gate-policy"/>
    <w:p>
      <w:pPr>
        <w:pStyle w:val="Heading2"/>
      </w:pPr>
      <w:r>
        <w:t xml:space="preserve">Strict gate policy</w:t>
      </w:r>
    </w:p>
    <w:p>
      <w:pPr>
        <w:pStyle w:val="FirstParagraph"/>
      </w:pPr>
      <w:r>
        <w:t xml:space="preserve">Claims were promoted only when multiple directional checks agreed: expected-age contrasts had to point in the correct direction, marginal effects had to remain supportive, and old-probability shifts had to be consistent. This policy was intentionally stricter than contrast-only screening because the project goal was mechanism-grade evidence rather than loose signal detection.</w:t>
      </w:r>
    </w:p>
    <w:bookmarkEnd w:id="24"/>
    <w:bookmarkEnd w:id="25"/>
    <w:bookmarkStart w:id="56" w:name="results"/>
    <w:p>
      <w:pPr>
        <w:pStyle w:val="Heading1"/>
      </w:pPr>
      <w:r>
        <w:t xml:space="preserve">Results</w:t>
      </w:r>
    </w:p>
    <w:bookmarkStart w:id="27" w:name="global-trajectory-across-stages"/>
    <w:p>
      <w:pPr>
        <w:pStyle w:val="Heading2"/>
      </w:pPr>
      <w:r>
        <w:t xml:space="preserve">Global trajectory across stages</w:t>
      </w:r>
    </w:p>
    <w:p>
      <w:pPr>
        <w:pStyle w:val="FirstParagraph"/>
      </w:pPr>
      <w:r>
        <w:t xml:space="preserve">Table </w:t>
      </w:r>
      <w:hyperlink w:anchor="tab:stage-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stage-level outcomes.</w:t>
      </w:r>
    </w:p>
    <w:bookmarkStart w:id="26" w:name="tab:stage-overview"/>
    <w:p>
      <w:pPr>
        <w:pStyle w:val="TableCaption"/>
      </w:pPr>
      <w:r>
        <w:t xml:space="preserve">Stage-level outcomes across the full pipeline.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tage-level outcomes across the full pipeline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age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balanced accuracy range: 0.299–0.384 across 5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gate passes: 0/5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robust donor-aware sparse features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Cross-model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 pathway-matched cross-model feature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(strict)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Model-specific claim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strict claim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(strict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+ marginal strict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1/19 runs with at least one full strict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Deep-dive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Surviving row stable up to min-donors=400; fails at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Reweighting preserved strict pass; full compmatched forward rerun removed full strict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Compmatched seed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full strict replications under composition-matched seeds</w:t>
            </w:r>
          </w:p>
        </w:tc>
      </w:tr>
    </w:tbl>
    <w:bookmarkEnd w:id="26"/>
    <w:bookmarkEnd w:id="27"/>
    <w:bookmarkStart w:id="31" w:name="Xd24edef54d090c434d7cf6e3717dbe2c9ede408"/>
    <w:p>
      <w:pPr>
        <w:pStyle w:val="Heading2"/>
      </w:pPr>
      <w:r>
        <w:t xml:space="preserve">Age can be decoded, but global age geometry is not robust (Stages 1–2)</w:t>
      </w:r>
    </w:p>
    <w:p>
      <w:pPr>
        <w:pStyle w:val="FirstParagraph"/>
      </w:pPr>
      <w:r>
        <w:t xml:space="preserve">Frozen probes reached moderate performance (best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0.3838</m:t>
        </m:r>
      </m:oMath>
      <w:r>
        <w:t xml:space="preserve"> </w:t>
      </w:r>
      <w:r>
        <w:t xml:space="preserve">in AIDA phase 1 v2), indicating that age-associated signal is present in the frozen representations. However, the manifold-alignment criteria did not pass robustness gates in any dataset (0/5), even after donor-aware within-cell-type checks. Figure </w:t>
      </w:r>
      <w:hyperlink w:anchor="fig:stage12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this separation clearly: age is detectable, but it does not organize the global latent geometry in a stable way.</w:t>
      </w:r>
    </w:p>
    <w:p>
      <w:pPr>
        <w:pStyle w:val="CaptionedFigure"/>
      </w:pPr>
      <w:r>
        <w:drawing>
          <wp:inline>
            <wp:extent cx="5227320" cy="197798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fig1_stage1_stage2_overvie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97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Detection versus geometry. Left: donor-aware age-decoding performance by dataset. Right: age-alignment geometry statistics remain weak and inconsistent, with no dataset passing the geometry gate.</w:t>
      </w:r>
    </w:p>
    <w:bookmarkEnd w:id="31"/>
    <w:bookmarkStart w:id="38" w:name="Xd8d69b28c299c39ab49b0ca3555e00d982e7421"/>
    <w:p>
      <w:pPr>
        <w:pStyle w:val="Heading2"/>
      </w:pPr>
      <w:r>
        <w:t xml:space="preserve">Sparse features and cross-model overlap point to inflammatory programs (Stages 3–4)</w:t>
      </w:r>
    </w:p>
    <w:p>
      <w:pPr>
        <w:pStyle w:val="FirstParagraph"/>
      </w:pPr>
      <w:r>
        <w:t xml:space="preserve">Sparse autoencoder analysis identified many donor-aware robust features (91 in scGPT core runs and 41 in Geneformer core runs). Figure </w:t>
      </w:r>
      <w:hyperlink w:anchor="fig:stage3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these counts.</w:t>
      </w:r>
    </w:p>
    <w:p>
      <w:pPr>
        <w:pStyle w:val="CaptionedFigure"/>
      </w:pPr>
      <w:r>
        <w:drawing>
          <wp:inline>
            <wp:extent cx="4000500" cy="215729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fig2_stage3_robust_featur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Donor-aware robust sparse features retained after filtering. Most of the signal comes from the two AIDA cohorts.</w:t>
      </w:r>
    </w:p>
    <w:p>
      <w:pPr>
        <w:pStyle w:val="BodyText"/>
      </w:pPr>
      <w:r>
        <w:t xml:space="preserve">Cross-model pathway matching produced 193 pairs in aggregate. This overlap was dominated by inflammation / NF-kappaB in AIDA phase 1 v2 (175 pairs; best convergence score 0.0957), suggesting that both models capture a shared inflammatory latent program rather than completely unrelated features (Figure </w:t>
      </w:r>
      <w:hyperlink w:anchor="fig:stage4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4267200" cy="215886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fig3_stage4_pathway_convergen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Cross-model pathway convergence. Inflammation / NF-kappaB dominates the shared signal between scGPT and Geneformer.</w:t>
      </w:r>
    </w:p>
    <w:bookmarkEnd w:id="38"/>
    <w:bookmarkStart w:id="42" w:name="X3600fc3e840c0a67b042e7402473d4a825e5afe"/>
    <w:p>
      <w:pPr>
        <w:pStyle w:val="Heading2"/>
      </w:pPr>
      <w:r>
        <w:t xml:space="preserve">The clearest cell-type-specific signal appears in AIDA v1 monocytes (Stage 8)</w:t>
      </w:r>
    </w:p>
    <w:p>
      <w:pPr>
        <w:pStyle w:val="FirstParagraph"/>
      </w:pPr>
      <w:r>
        <w:t xml:space="preserve">A clear positive result appeared in AIDA phase 1 v1 CD14 monocytes for inflammation / NF-kappaB at intervention scale 2.0:</w:t>
      </w:r>
    </w:p>
    <w:p>
      <w:pPr>
        <w:numPr>
          <w:ilvl w:val="0"/>
          <w:numId w:val="1002"/>
        </w:numPr>
      </w:pPr>
      <w:r>
        <w:t xml:space="preserve">Geneformer old-minus-random expected-age contrast: 0.0357 [0.0314, 0.0398], positive.</w:t>
      </w:r>
    </w:p>
    <w:p>
      <w:pPr>
        <w:numPr>
          <w:ilvl w:val="0"/>
          <w:numId w:val="1002"/>
        </w:numPr>
      </w:pPr>
      <w:r>
        <w:t xml:space="preserve">scGPT old-minus-random expected-age contrast: 0.0419 [0.0368, 0.0474], positive.</w:t>
      </w:r>
    </w:p>
    <w:p>
      <w:pPr>
        <w:pStyle w:val="FirstParagraph"/>
      </w:pPr>
      <w:r>
        <w:t xml:space="preserve">In contrast, AIDA phase 1 v2 monocytes were weak or discordant (Geneformer uncertain; scGPT negative), emphasizing that the signal is real but cohort-dependent (Figure </w:t>
      </w:r>
      <w:hyperlink w:anchor="fig:stage8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4800600" cy="240115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4_stage8_monocyte_scale_contras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1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Monocyte-restricted inflammation intervention results. Positive old-versus-random effects are strongest in AIDA phase 1 v1, especially at intervention scale 2.0.</w:t>
      </w:r>
    </w:p>
    <w:bookmarkEnd w:id="42"/>
    <w:bookmarkStart w:id="46" w:name="Xee8aa3d04864b401d67348f018d52dc75e4dbc6"/>
    <w:p>
      <w:pPr>
        <w:pStyle w:val="Heading2"/>
      </w:pPr>
      <w:r>
        <w:t xml:space="preserve">A single global Geneformer branch survives the deep-dive stress test (Stage 9)</w:t>
      </w:r>
    </w:p>
    <w:p>
      <w:pPr>
        <w:pStyle w:val="FirstParagraph"/>
      </w:pPr>
      <w:r>
        <w:t xml:space="preserve">Under strict gating, one global branch survived: the AIDA phase 1 v2 Geneformer inflammation / NF-kappaB branch evaluated at global scope and intervention scale 2.0. After expanding split seeds (60 splits per model), this branch remained full-strict positive up to a minimum donor threshold of 400, failing only at 500 because donor coverage became too sparse (Figure </w:t>
      </w:r>
      <w:hyperlink w:anchor="fig:stage9sweep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The key Geneformer expected-age contrasts in this deep-dive run were:</w:t>
      </w:r>
    </w:p>
    <w:p>
      <w:pPr>
        <w:numPr>
          <w:ilvl w:val="0"/>
          <w:numId w:val="1003"/>
        </w:numPr>
      </w:pPr>
      <w:r>
        <w:t xml:space="preserve">old-minus-random: 0.1494 [0.1423, 0.1564], positive</w:t>
      </w:r>
    </w:p>
    <w:p>
      <w:pPr>
        <w:numPr>
          <w:ilvl w:val="0"/>
          <w:numId w:val="1003"/>
        </w:numPr>
      </w:pPr>
      <w:r>
        <w:t xml:space="preserve">young-minus-random: -0.1324 [-0.1379, -0.1267], negative</w:t>
      </w:r>
    </w:p>
    <w:p>
      <w:pPr>
        <w:numPr>
          <w:ilvl w:val="0"/>
          <w:numId w:val="1003"/>
        </w:numPr>
      </w:pPr>
      <w:r>
        <w:t xml:space="preserve">old-minus-young: 0.2817 [0.2698, 0.2940], positive</w:t>
      </w:r>
    </w:p>
    <w:p>
      <w:pPr>
        <w:pStyle w:val="FirstParagraph"/>
      </w:pPr>
      <w:r>
        <w:t xml:space="preserve">This was the strongest positive mechanistic candidate in the full project trajectory.</w:t>
      </w:r>
    </w:p>
    <w:p>
      <w:pPr>
        <w:pStyle w:val="CaptionedFigure"/>
      </w:pPr>
      <w:r>
        <w:drawing>
          <wp:inline>
            <wp:extent cx="3840480" cy="204404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es/fig5_stage9_donor_threshold_swee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04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Donor-threshold stress test for the strongest surviving global branch. The full strict gate remains satisfied until the minimum donor threshold reaches 500.</w:t>
      </w:r>
    </w:p>
    <w:bookmarkEnd w:id="46"/>
    <w:bookmarkStart w:id="53" w:name="X0c8227316fa869b2409f9bc0e738a64e25069f7"/>
    <w:p>
      <w:pPr>
        <w:pStyle w:val="Heading2"/>
      </w:pPr>
      <w:r>
        <w:t xml:space="preserve">Composition matching weakens the strongest global signal (Stages 10–11)</w:t>
      </w:r>
    </w:p>
    <w:p>
      <w:pPr>
        <w:pStyle w:val="FirstParagraph"/>
      </w:pPr>
      <w:r>
        <w:rPr>
          <w:bCs/>
          <w:b/>
        </w:rPr>
        <w:t xml:space="preserve">Positive control result (reweighting):</w:t>
      </w:r>
      <w:r>
        <w:t xml:space="preserve"> </w:t>
      </w:r>
      <w:r>
        <w:t xml:space="preserve">donor-composition reweighting preserved strict pass status across ridge penalties of 0.1, 1, 10, and 100, with near-zero effect shifts.</w:t>
      </w:r>
    </w:p>
    <w:p>
      <w:pPr>
        <w:pStyle w:val="BodyText"/>
      </w:pPr>
      <w:r>
        <w:rPr>
          <w:bCs/>
          <w:b/>
        </w:rPr>
        <w:t xml:space="preserve">Stronger control result (full composition-matched forward rerun):</w:t>
      </w:r>
      <w:r>
        <w:t xml:space="preserve"> </w:t>
      </w:r>
      <w:r>
        <w:t xml:space="preserve">the full strict pass disappeared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despite one expected-age contrast-strict row. Figure </w:t>
      </w:r>
      <w:hyperlink w:anchor="fig:stage10_11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both points: simple reweighting barely changes the estimated effect sizes, but fully matched reruns do not preserve the baseline claim. Figure </w:t>
      </w:r>
      <w:hyperlink w:anchor="fig:bootcompar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compares the donor-bootstrap intervention intervals before and after full composition matching.</w:t>
      </w:r>
    </w:p>
    <w:p>
      <w:pPr>
        <w:pStyle w:val="CaptionedFigure"/>
      </w:pPr>
      <w:r>
        <w:drawing>
          <wp:inline>
            <wp:extent cx="5227320" cy="193584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ig6_composition_controls_and_seedpane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93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Composition controls. Left: donor-composition reweighting produces only negligible changes in the effect estimates. Right: the baseline strict claim does not replicate under composition-matched reruns, although one matched rerun retains the weaker Geneformer directional pattern.</w:t>
      </w:r>
    </w:p>
    <w:p>
      <w:pPr>
        <w:pStyle w:val="CaptionedFigure"/>
      </w:pPr>
      <w:r>
        <w:drawing>
          <wp:inline>
            <wp:extent cx="4160520" cy="231276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fig7_geneformer_bootstrap_stage9_vs_stage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312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Geneformer donor-bootstrap intervention effects before and after full composition matching. The aging-program push remains positive, but the overall directional structure becomes less clean once full matching is enforced.</w:t>
      </w:r>
    </w:p>
    <w:bookmarkEnd w:id="53"/>
    <w:bookmarkStart w:id="55" w:name="X2a784b642538f732dcde11db46a0aacdee071b0"/>
    <w:p>
      <w:pPr>
        <w:pStyle w:val="Heading2"/>
      </w:pPr>
      <w:r>
        <w:t xml:space="preserve">Matched reruns do not reproduce the baseline claim (Stage 11)</w:t>
      </w:r>
    </w:p>
    <w:p>
      <w:pPr>
        <w:pStyle w:val="FirstParagraph"/>
      </w:pPr>
      <w:r>
        <w:t xml:space="preserve">A four-run composition-matched seed panel (seed42, 101, 202, 303) yielded: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0/4</w:t>
      </w:r>
      <w:r>
        <w:t xml:space="preserve"> </w:t>
      </w:r>
      <w:r>
        <w:t xml:space="preserve">full strict replications,</w:t>
      </w:r>
    </w:p>
    <w:p>
      <w:pPr>
        <w:numPr>
          <w:ilvl w:val="0"/>
          <w:numId w:val="1004"/>
        </w:numPr>
      </w:pPr>
      <w:r>
        <w:t xml:space="preserve">Geneformer directional-pattern criterion retained in</w:t>
      </w:r>
      <w:r>
        <w:t xml:space="preserve"> </w:t>
      </w:r>
      <w:r>
        <w:rPr>
          <w:bCs/>
          <w:b/>
        </w:rPr>
        <w:t xml:space="preserve">1/4</w:t>
      </w:r>
      <w:r>
        <w:t xml:space="preserve"> </w:t>
      </w:r>
      <w:r>
        <w:t xml:space="preserve">runs,</w:t>
      </w:r>
    </w:p>
    <w:p>
      <w:pPr>
        <w:numPr>
          <w:ilvl w:val="0"/>
          <w:numId w:val="1004"/>
        </w:numPr>
      </w:pPr>
      <w:r>
        <w:t xml:space="preserve">unstable random/young intervention directional structure across seeds.</w:t>
      </w:r>
    </w:p>
    <w:p>
      <w:pPr>
        <w:pStyle w:val="FirstParagraph"/>
      </w:pPr>
      <w:r>
        <w:t xml:space="preserve">Table </w:t>
      </w:r>
      <w:hyperlink w:anchor="tab:seedpane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 panel-level strict outcomes.</w:t>
      </w:r>
    </w:p>
    <w:bookmarkStart w:id="54" w:name="tab:seedpanel"/>
    <w:p>
      <w:pPr>
        <w:pStyle w:val="TableCaption"/>
      </w:pPr>
      <w:r>
        <w:t xml:space="preserve">Stage 11 composition-matched seed panel summary (strict outcomes).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tage 11 composition-matched seed panel summary (strict outcome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full strict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Aging push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Random control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Young-program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expanded-split 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Composition-matched rerun, seed 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Composition-matched rerun, seed 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uncertain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Composition-matched rerun, seed 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Composition-matched rerun, seed 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uncertain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uncertain</w:t>
            </w:r>
          </w:p>
        </w:tc>
      </w:tr>
    </w:tbl>
    <w:bookmarkEnd w:id="54"/>
    <w:bookmarkEnd w:id="55"/>
    <w:bookmarkEnd w:id="56"/>
    <w:bookmarkStart w:id="5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A clear pattern emerged across the project. Frozen single-cell foundation models do contain aging-related structure, and some of that structure is biologically interpretable. We repeatedly recovered donor-aware sparse features, saw substantial cross-model overlap in inflammatory programs, and observed a strong cell-type-local monocyte signal in AIDA phase 1 v1. These are not trivial findings, because they appeared without age-specific fine-tuning.</w:t>
      </w:r>
    </w:p>
    <w:p>
      <w:pPr>
        <w:pStyle w:val="BodyText"/>
      </w:pPr>
      <w:r>
        <w:t xml:space="preserve">At the same time, the strongest global signal did not survive the most demanding control. The AIDA phase 1 v2 Geneformer inflammation branch looked convincing after split expansion, donor-threshold tightening, and donor-composition reweighting. But once we enforced full composition matching and repeated the analysis across multiple matched seeds, the full strict claim did not replicate. That is not a side note. It is the central methodological result of the study.</w:t>
      </w:r>
    </w:p>
    <w:bookmarkStart w:id="57" w:name="X23ac13b45d1bde487f9c63f5b619b52ef5a0bc2"/>
    <w:p>
      <w:pPr>
        <w:pStyle w:val="Heading2"/>
      </w:pPr>
      <w:r>
        <w:t xml:space="preserve">Interpretation for longevity-focused mechanistic research</w:t>
      </w:r>
    </w:p>
    <w:p>
      <w:pPr>
        <w:pStyle w:val="FirstParagraph"/>
      </w:pPr>
      <w:r>
        <w:t xml:space="preserve">For longevity-focused mechanistic work, these results suggest a practical strategy:</w:t>
      </w:r>
    </w:p>
    <w:p>
      <w:pPr>
        <w:numPr>
          <w:ilvl w:val="0"/>
          <w:numId w:val="1005"/>
        </w:numPr>
      </w:pPr>
      <w:r>
        <w:t xml:space="preserve">Use frozen models first to test signal existence and feature interpretability.</w:t>
      </w:r>
    </w:p>
    <w:p>
      <w:pPr>
        <w:numPr>
          <w:ilvl w:val="0"/>
          <w:numId w:val="1005"/>
        </w:numPr>
      </w:pPr>
      <w:r>
        <w:t xml:space="preserve">Promote candidate mechanisms only after donor-aware, cell-type-aware, and composition-aware replication.</w:t>
      </w:r>
    </w:p>
    <w:p>
      <w:pPr>
        <w:numPr>
          <w:ilvl w:val="0"/>
          <w:numId w:val="1005"/>
        </w:numPr>
      </w:pPr>
      <w:r>
        <w:t xml:space="preserve">Distinguish</w:t>
      </w:r>
      <w:r>
        <w:t xml:space="preserve"> </w:t>
      </w:r>
      <w:r>
        <w:rPr>
          <w:iCs/>
          <w:i/>
        </w:rPr>
        <w:t xml:space="preserve">model-specific interpretable signal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cross-model robust mechanism</w:t>
      </w:r>
      <w:r>
        <w:t xml:space="preserve">; these are not equivalent.</w:t>
      </w:r>
    </w:p>
    <w:bookmarkEnd w:id="57"/>
    <w:bookmarkStart w:id="5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Key limitations include: (i) limited donor support in some strata and external subsets; (ii) reduced power under strict within-cell-type constraints; (iii) sensitivity of final strict status to composition-matched sample realization; and (iv) incomplete high-power composition-matched reruns due runtime constraints.</w:t>
      </w:r>
    </w:p>
    <w:bookmarkEnd w:id="58"/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establishes that frozen scGPT and Geneformer representations contain meaningful, interpretable aging-associated latent programs, with particularly strong intermediate evidence around inflammatory biology. However, under repeated fully composition-matched forward-pass controls, the strongest global strict-claim branch did not replicate. The most accurate summary is therefore:</w:t>
      </w:r>
      <w:r>
        <w:t xml:space="preserve"> </w:t>
      </w:r>
      <w:r>
        <w:rPr>
          <w:bCs/>
          <w:b/>
        </w:rPr>
        <w:t xml:space="preserve">promising mechanistic signal, not yet a promotion-grade robust mechanism</w:t>
      </w:r>
      <w:r>
        <w:t xml:space="preserve">.</w:t>
      </w:r>
    </w:p>
    <w:p>
      <w:pPr>
        <w:pStyle w:val="BodyText"/>
      </w:pPr>
      <w:r>
        <w:t xml:space="preserve">The highest-value next step is a higher-power composition-matched consensus protocol (larger matched cell budgets and pooled multi-resample decision rules) to determine whether the Stage-9 signal reflects a true stable mechanism or a sampling-sensitive artifact.</w:t>
      </w:r>
    </w:p>
    <w:bookmarkEnd w:id="60"/>
    <w:bookmarkStart w:id="77" w:name="statements-and-declarations"/>
    <w:p>
      <w:pPr>
        <w:pStyle w:val="Heading1"/>
      </w:pPr>
      <w:r>
        <w:t xml:space="preserve">Statements and Declarations</w:t>
      </w:r>
    </w:p>
    <w:p>
      <w:pPr>
        <w:pStyle w:val="FirstParagraph"/>
      </w:pPr>
      <w:r>
        <w:rPr>
          <w:bCs/>
          <w:b/>
        </w:rPr>
        <w:t xml:space="preserve">Funding:</w:t>
      </w:r>
      <w:r>
        <w:t xml:space="preserve"> </w:t>
      </w:r>
      <w:r>
        <w:t xml:space="preserve">The author received no specific funding for this work.</w:t>
      </w:r>
      <w:r>
        <w:br/>
      </w:r>
      <w:r>
        <w:rPr>
          <w:bCs/>
          <w:b/>
        </w:rPr>
        <w:t xml:space="preserve">Competing interests:</w:t>
      </w:r>
      <w:r>
        <w:t xml:space="preserve"> </w:t>
      </w:r>
      <w:r>
        <w:t xml:space="preserve">The author declares no competing interests.</w:t>
      </w:r>
      <w:r>
        <w:br/>
      </w:r>
      <w:r>
        <w:rPr>
          <w:bCs/>
          <w:b/>
        </w:rPr>
        <w:t xml:space="preserve">Author contributions:</w:t>
      </w:r>
      <w:r>
        <w:t xml:space="preserve"> </w:t>
      </w:r>
      <w:r>
        <w:t xml:space="preserve">The sole author conceived the study, designed the analyses, executed the computational work, interpreted the results, and wrote the manuscript.</w:t>
      </w:r>
      <w:r>
        <w:br/>
      </w:r>
      <w:r>
        <w:rPr>
          <w:bCs/>
          <w:b/>
        </w:rPr>
        <w:t xml:space="preserve">Ethics approval:</w:t>
      </w:r>
      <w:r>
        <w:t xml:space="preserve"> </w:t>
      </w:r>
      <w:r>
        <w:t xml:space="preserve">This study analyzed previously generated datasets and did not involve new recruitment or intervention on human participants within the present work.</w:t>
      </w:r>
      <w:r>
        <w:br/>
      </w:r>
      <w:r>
        <w:rPr>
          <w:bCs/>
          <w:b/>
        </w:rPr>
        <w:t xml:space="preserve">Consent to participate:</w:t>
      </w:r>
      <w:r>
        <w:t xml:space="preserve"> </w:t>
      </w:r>
      <w:r>
        <w:t xml:space="preserve">Not applicable.</w:t>
      </w:r>
      <w:r>
        <w:br/>
      </w:r>
      <w:r>
        <w:rPr>
          <w:bCs/>
          <w:b/>
        </w:rPr>
        <w:t xml:space="preserve">Consent for publication:</w:t>
      </w:r>
      <w:r>
        <w:t xml:space="preserve"> </w:t>
      </w:r>
      <w:r>
        <w:t xml:space="preserve">Not applicable.</w:t>
      </w:r>
      <w:r>
        <w:br/>
      </w:r>
      <w:r>
        <w:rPr>
          <w:bCs/>
          <w:b/>
        </w:rPr>
        <w:t xml:space="preserve">Data availability:</w:t>
      </w:r>
      <w:r>
        <w:t xml:space="preserve"> </w:t>
      </w:r>
      <w:r>
        <w:t xml:space="preserve">The public project repository includes the processed summary artifacts needed to reproduce the manuscript figures and tables. Access to the raw underlying single-cell datasets is governed by the original data providers; the repository documents dataset provenance and contains derived summary outputs only.</w:t>
      </w:r>
      <w:r>
        <w:br/>
      </w:r>
      <w:r>
        <w:rPr>
          <w:bCs/>
          <w:b/>
        </w:rPr>
        <w:t xml:space="preserve">Code availability:</w:t>
      </w:r>
      <w:r>
        <w:t xml:space="preserve"> </w:t>
      </w:r>
      <w:r>
        <w:t xml:space="preserve">The analysis code, manuscript source, figure-generation script, and reproducibility notes are available at</w:t>
      </w:r>
      <w:r>
        <w:t xml:space="preserve"> </w:t>
      </w:r>
      <w:hyperlink r:id="rId61">
        <w:r>
          <w:rPr>
            <w:rStyle w:val="Hyperlink"/>
          </w:rPr>
          <w:t xml:space="preserve">https://github.com/Biodyn-AI/longevity-mechinterp</w:t>
        </w:r>
      </w:hyperlink>
      <w:r>
        <w:t xml:space="preserve">.</w:t>
      </w:r>
      <w:r>
        <w:br/>
      </w:r>
    </w:p>
    <w:bookmarkStart w:id="76" w:name="refs"/>
    <w:bookmarkStart w:id="63" w:name="ref-bricken2023monosemanticity"/>
    <w:p>
      <w:pPr>
        <w:pStyle w:val="Bibliography"/>
      </w:pPr>
      <w:r>
        <w:t xml:space="preserve">Bricken, Trenton, Adly Templeton, Joshua Batson, et al. 2023.</w:t>
      </w:r>
      <w:r>
        <w:t xml:space="preserve"> </w:t>
      </w:r>
      <w:r>
        <w:t xml:space="preserve">“Towards Monosemanticity: Decomposing Language Models with Dictionary Learning.”</w:t>
      </w:r>
      <w:r>
        <w:t xml:space="preserve"> </w:t>
      </w:r>
      <w:hyperlink r:id="rId62">
        <w:r>
          <w:rPr>
            <w:rStyle w:val="Hyperlink"/>
          </w:rPr>
          <w:t xml:space="preserve">https://arxiv.org/abs/2305.01610</w:t>
        </w:r>
      </w:hyperlink>
      <w:r>
        <w:t xml:space="preserve">.</w:t>
      </w:r>
    </w:p>
    <w:bookmarkEnd w:id="63"/>
    <w:bookmarkStart w:id="65" w:name="ref-cui2024scgpt"/>
    <w:p>
      <w:pPr>
        <w:pStyle w:val="Bibliography"/>
      </w:pPr>
      <w:r>
        <w:t xml:space="preserve">Cui, Haotian, Chloe Wang, Himanshu Maan, et al. 2024.</w:t>
      </w:r>
      <w:r>
        <w:t xml:space="preserve"> </w:t>
      </w:r>
      <w:r>
        <w:t xml:space="preserve">“scGPT: Toward Building a Foundation Model for Single-Cell Multi-Omics Using Generative</w:t>
      </w:r>
      <w:r>
        <w:t xml:space="preserve"> </w:t>
      </w:r>
      <w:r>
        <w:t xml:space="preserve">AI</w:t>
      </w:r>
      <w:r>
        <w:t xml:space="preserve">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21 (8): 1470–80.</w:t>
      </w:r>
      <w:r>
        <w:t xml:space="preserve"> </w:t>
      </w:r>
      <w:hyperlink r:id="rId64">
        <w:r>
          <w:rPr>
            <w:rStyle w:val="Hyperlink"/>
          </w:rPr>
          <w:t xml:space="preserve">https://doi.org/10.1038/s41592-024-02201-0</w:t>
        </w:r>
      </w:hyperlink>
      <w:r>
        <w:t xml:space="preserve">.</w:t>
      </w:r>
    </w:p>
    <w:bookmarkEnd w:id="65"/>
    <w:bookmarkStart w:id="67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Cs/>
          <w:i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67"/>
    <w:bookmarkStart w:id="69" w:name="ref-tabula2022"/>
    <w:p>
      <w:pPr>
        <w:pStyle w:val="Bibliography"/>
      </w:pPr>
      <w:r>
        <w:t xml:space="preserve">Jones, R. C., J. Karkanias, M. A. Krasnow, A. O. Pisco, et al. 2022.</w:t>
      </w:r>
      <w:r>
        <w:t xml:space="preserve"> </w:t>
      </w:r>
      <w:r>
        <w:t xml:space="preserve">“The Tabula Sapiens: A Multiple-Organ, Single-Cell Transcriptomic Atlas of Humans.”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376 (6594): eabl4896.</w:t>
      </w:r>
      <w:r>
        <w:t xml:space="preserve"> </w:t>
      </w:r>
      <w:hyperlink r:id="rId68">
        <w:r>
          <w:rPr>
            <w:rStyle w:val="Hyperlink"/>
          </w:rPr>
          <w:t xml:space="preserve">https://doi.org/10.1126/science.abl4896</w:t>
        </w:r>
      </w:hyperlink>
      <w:r>
        <w:t xml:space="preserve">.</w:t>
      </w:r>
    </w:p>
    <w:bookmarkEnd w:id="69"/>
    <w:bookmarkStart w:id="71" w:name="ref-templeton2024scaling"/>
    <w:p>
      <w:pPr>
        <w:pStyle w:val="Bibliography"/>
      </w:pPr>
      <w:r>
        <w:t xml:space="preserve">Templeton, Adly, Trenton Bricken, Joshua Batson, et al. 2024.</w:t>
      </w:r>
      <w:r>
        <w:t xml:space="preserve"> </w:t>
      </w:r>
      <w:r>
        <w:t xml:space="preserve">“Scaling Monosemanticity: Extracting Interpretable Features from Claude 3 Sonnet.”</w:t>
      </w:r>
      <w:r>
        <w:t xml:space="preserve"> </w:t>
      </w:r>
      <w:hyperlink r:id="rId70">
        <w:r>
          <w:rPr>
            <w:rStyle w:val="Hyperlink"/>
          </w:rPr>
          <w:t xml:space="preserve">https://arxiv.org/abs/2406.04093</w:t>
        </w:r>
      </w:hyperlink>
      <w:r>
        <w:t xml:space="preserve">.</w:t>
      </w:r>
    </w:p>
    <w:bookmarkEnd w:id="71"/>
    <w:bookmarkStart w:id="73" w:name="ref-theodoris2023geneformer"/>
    <w:p>
      <w:pPr>
        <w:pStyle w:val="Bibliography"/>
      </w:pPr>
      <w:r>
        <w:t xml:space="preserve">Theodoris, Christina V., Ling Xiao, Aashi Chopra, et al. 2023.</w:t>
      </w:r>
      <w:r>
        <w:t xml:space="preserve"> </w:t>
      </w:r>
      <w:r>
        <w:t xml:space="preserve">“Transfer Learning Enables Predictions in Network Biology.”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618 (7964): 355–64.</w:t>
      </w:r>
      <w:r>
        <w:t xml:space="preserve"> </w:t>
      </w:r>
      <w:hyperlink r:id="rId72">
        <w:r>
          <w:rPr>
            <w:rStyle w:val="Hyperlink"/>
          </w:rPr>
          <w:t xml:space="preserve">https://doi.org/10.1038/s41586-023-06139-9</w:t>
        </w:r>
      </w:hyperlink>
      <w:r>
        <w:t xml:space="preserve">.</w:t>
      </w:r>
    </w:p>
    <w:bookmarkEnd w:id="73"/>
    <w:bookmarkStart w:id="75" w:name="ref-yazar2022"/>
    <w:p>
      <w:pPr>
        <w:pStyle w:val="Bibliography"/>
      </w:pPr>
      <w:r>
        <w:t xml:space="preserve">Yazar, S., J. Alquicira-Hernandez, K. Wing, et al. 2022.</w:t>
      </w:r>
      <w:r>
        <w:t xml:space="preserve"> </w:t>
      </w:r>
      <w:r>
        <w:t xml:space="preserve">“Single-Cell eQTL Mapping Identifies Cell Type-Specific Genetic Control of Autoimmune Disease.”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376 (6589): eabf3041.</w:t>
      </w:r>
      <w:r>
        <w:t xml:space="preserve"> </w:t>
      </w:r>
      <w:hyperlink r:id="rId74">
        <w:r>
          <w:rPr>
            <w:rStyle w:val="Hyperlink"/>
          </w:rPr>
          <w:t xml:space="preserve">https://doi.org/10.1126/science.abf3041</w:t>
        </w:r>
      </w:hyperlink>
      <w:r>
        <w:t xml:space="preserve">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hyperlink" Id="rId62" Target="https://arxiv.org/abs/2305.01610" TargetMode="External" /><Relationship Type="http://schemas.openxmlformats.org/officeDocument/2006/relationships/hyperlink" Id="rId70" Target="https://arxiv.org/abs/2406.04093" TargetMode="External" /><Relationship Type="http://schemas.openxmlformats.org/officeDocument/2006/relationships/hyperlink" Id="rId72" Target="https://doi.org/10.1038/s41586-023-06139-9" TargetMode="External" /><Relationship Type="http://schemas.openxmlformats.org/officeDocument/2006/relationships/hyperlink" Id="rId64" Target="https://doi.org/10.1038/s41592-024-02201-0" TargetMode="External" /><Relationship Type="http://schemas.openxmlformats.org/officeDocument/2006/relationships/hyperlink" Id="rId74" Target="https://doi.org/10.1126/science.abf3041" TargetMode="External" /><Relationship Type="http://schemas.openxmlformats.org/officeDocument/2006/relationships/hyperlink" Id="rId68" Target="https://doi.org/10.1126/science.abl4896" TargetMode="External" /><Relationship Type="http://schemas.openxmlformats.org/officeDocument/2006/relationships/hyperlink" Id="rId66" Target="https://doi.org/10.1214/aos/1176344552" TargetMode="External" /><Relationship Type="http://schemas.openxmlformats.org/officeDocument/2006/relationships/hyperlink" Id="rId61" Target="https://github.com/Biodyn-AI/longevity-mechinter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arxiv.org/abs/2305.01610" TargetMode="External" /><Relationship Type="http://schemas.openxmlformats.org/officeDocument/2006/relationships/hyperlink" Id="rId70" Target="https://arxiv.org/abs/2406.04093" TargetMode="External" /><Relationship Type="http://schemas.openxmlformats.org/officeDocument/2006/relationships/hyperlink" Id="rId72" Target="https://doi.org/10.1038/s41586-023-06139-9" TargetMode="External" /><Relationship Type="http://schemas.openxmlformats.org/officeDocument/2006/relationships/hyperlink" Id="rId64" Target="https://doi.org/10.1038/s41592-024-02201-0" TargetMode="External" /><Relationship Type="http://schemas.openxmlformats.org/officeDocument/2006/relationships/hyperlink" Id="rId74" Target="https://doi.org/10.1126/science.abf3041" TargetMode="External" /><Relationship Type="http://schemas.openxmlformats.org/officeDocument/2006/relationships/hyperlink" Id="rId68" Target="https://doi.org/10.1126/science.abl4896" TargetMode="External" /><Relationship Type="http://schemas.openxmlformats.org/officeDocument/2006/relationships/hyperlink" Id="rId66" Target="https://doi.org/10.1214/aos/1176344552" TargetMode="External" /><Relationship Type="http://schemas.openxmlformats.org/officeDocument/2006/relationships/hyperlink" Id="rId61" Target="https://github.com/Biodyn-AI/longevity-mechinter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Donor-Aware Framework for Mechanistic Interpretability of Aging Signals in Single-Cell Foundation Models</dc:title>
  <dc:creator>Ihor Kendiukhov^{1} ^{1}Department of Computer Science, University of Tübingen, Tübingen, Germany kendiukhov@gmail.com</dc:creator>
  <cp:keywords/>
  <dcterms:created xsi:type="dcterms:W3CDTF">2026-03-31T21:21:26Z</dcterms:created>
  <dcterms:modified xsi:type="dcterms:W3CDTF">2026-03-31T21:21:26Z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Single-cell foundation models may encode aging biology, but apparent signals can easily be distorted by donor identity and cell-composition differences. We built a donor-aware interpretability framework to test aging-related structure in frozen scGPT and Geneformer embeddings from age-labeled human single-cell datasets. The workflow combines donor-held-out age decoding, sparse autoencoder feature discovery, cross-model pathway matching, latent-space intervention tests, donor-bootstrap confidence intervals, and progressively stricter confound controls.Across five datasets, frozen representations contained detectable age information, with best donor-aware balanced accuracy 0.384. Sparse autoencoders recovered 132 donor-aware robust features across the two core AIDA cohorts, and cross-model pathway matching yielded 193 paired features, most strongly concentrated in inflammation / NF-kappaB programs in AIDA phase 1 v2. The clearest positive intervention result appeared in a global Geneformer inflammation branch: old-versus-random and old-versus-young expected-age contrasts remained significant after split expansion and donor-threshold tightening up to 400 donors. In a monocyte-restricted analysis on AIDA phase 1 v1, both scGPT and Geneformer also showed positive old-versus-random responses at intervention scale 2.0.Under the strictest control, however, the strongest global branch weakened. Fully composition-matched forward-pass reruns eliminated full strict replication, with 0 of 4 matched-seed reruns passing the full claim gate. These results show that frozen single-cell foundation models do contain biologically coherent aging-related structure, especially around inflammatory programs, but they also show that donor-aware and composition-aware stress tests are essential before treating those patterns as robust mechanisms.</vt:lpwstr>
  </property>
  <property fmtid="{D5CDD505-2E9C-101B-9397-08002B2CF9AE}" pid="3" name="bibliography">
    <vt:lpwstr>refs.bib</vt:lpwstr>
  </property>
  <property fmtid="{D5CDD505-2E9C-101B-9397-08002B2CF9AE}" pid="4" name="date">
    <vt:lpwstr>March 31, 2026</vt:lpwstr>
  </property>
</Properties>
</file>