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Logging has long-term effects on carbon productivity but not on mortality in tropical forests</w:t>
      </w:r>
    </w:p>
    <w:bookmarkStart w:id="23" w:name="methods"/>
    <w:p>
      <w:pPr>
        <w:pStyle w:val="Heading1"/>
      </w:pPr>
      <w:r>
        <w:t xml:space="preserve">Methods</w:t>
      </w:r>
    </w:p>
    <w:bookmarkStart w:id="12" w:name="study-sites"/>
    <w:p>
      <w:pPr>
        <w:pStyle w:val="Heading2"/>
      </w:pPr>
      <w:r>
        <w:t xml:space="preserve">Study sites</w:t>
      </w:r>
    </w:p>
    <w:p>
      <w:pPr>
        <w:pStyle w:val="FirstParagraph"/>
      </w:pPr>
      <w:r>
        <w:t xml:space="preserve">Our study includes data from eight long-term experimental forest sites located in tropical regions (see Figure XX). Plots ranging in area from 0.25 to 6.25 hectares have been installed in these sites and repeatedly measured after logging. In each site, at least ten inventories have been conducted over a period ranging from 25 to 40 years. Some plots were left unlogged (control plots), while others were selectively logged. In some sites, additional post-logging thinning was applied to some logged plots (Table XX).</w:t>
      </w:r>
    </w:p>
    <w:p>
      <w:pPr>
        <w:pStyle w:val="CaptionedFigure"/>
      </w:pPr>
      <w:r>
        <w:drawing>
          <wp:inline>
            <wp:extent cx="5334000" cy="2000250"/>
            <wp:effectExtent b="0" l="0" r="0" t="0"/>
            <wp:docPr descr="Map of study sites. Each dot represents the location of a study site; the dot’s size is proportional to the total area censused; and its colour represents the duration of the post-logging monitoring period (in years). Sites with an asterisk have plots that have undergone additional silvicultural treatments." title="" id="10" name="Picture"/>
            <a:graphic>
              <a:graphicData uri="http://schemas.openxmlformats.org/drawingml/2006/picture">
                <pic:pic>
                  <pic:nvPicPr>
                    <pic:cNvPr descr="manuscript_files/figure-docx/unnamed-chunk-2-1.png" id="11" name="Picture"/>
                    <pic:cNvPicPr>
                      <a:picLocks noChangeArrowheads="1" noChangeAspect="1"/>
                    </pic:cNvPicPr>
                  </pic:nvPicPr>
                  <pic:blipFill>
                    <a:blip r:embed="rId9"/>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Map of study sites. Each dot represents the location of a study site; the dot’s size is proportional to the total area censused; and its colour represents the duration of the post-logging monitoring period (in years). Sites with an asterisk have plots that have undergone additional silvicultural treatments.</w:t>
      </w:r>
    </w:p>
    <w:tbl>
      <w:tblPr>
        <w:tblStyle w:val="Table"/>
        <w:tblW w:type="pct" w:w="5000"/>
        <w:tblLayout w:type="fixed"/>
        <w:tblLook w:firstRow="1" w:lastRow="0" w:firstColumn="0" w:lastColumn="0" w:noHBand="0" w:noVBand="0" w:val="0020"/>
      </w:tblPr>
      <w:tblGrid>
        <w:gridCol w:w="602"/>
        <w:gridCol w:w="817"/>
        <w:gridCol w:w="1592"/>
        <w:gridCol w:w="1420"/>
        <w:gridCol w:w="1592"/>
        <w:gridCol w:w="1893"/>
      </w:tblGrid>
      <w:tr>
        <w:trPr>
          <w:tblHeader w:val="on"/>
        </w:trPr>
        <w:tc>
          <w:tcPr/>
          <w:p>
            <w:pPr>
              <w:pStyle w:val="Compact"/>
              <w:jc w:val="left"/>
            </w:pPr>
            <w:r>
              <w:t xml:space="preserve">Site</w:t>
            </w:r>
          </w:p>
        </w:tc>
        <w:tc>
          <w:tcPr/>
          <w:p>
            <w:pPr>
              <w:pStyle w:val="Compact"/>
              <w:jc w:val="right"/>
            </w:pPr>
            <w:r>
              <w:t xml:space="preserve">Number of censuses</w:t>
            </w:r>
          </w:p>
        </w:tc>
        <w:tc>
          <w:tcPr/>
          <w:p>
            <w:pPr>
              <w:pStyle w:val="Compact"/>
              <w:jc w:val="right"/>
            </w:pPr>
            <w:r>
              <w:t xml:space="preserve">Post-logging monitoring period (yrs)</w:t>
            </w:r>
          </w:p>
        </w:tc>
        <w:tc>
          <w:tcPr/>
          <w:p>
            <w:pPr>
              <w:pStyle w:val="Compact"/>
              <w:jc w:val="right"/>
            </w:pPr>
            <w:r>
              <w:t xml:space="preserve">Total area of control plots (ha)</w:t>
            </w:r>
          </w:p>
        </w:tc>
        <w:tc>
          <w:tcPr/>
          <w:p>
            <w:pPr>
              <w:pStyle w:val="Compact"/>
              <w:jc w:val="right"/>
            </w:pPr>
            <w:r>
              <w:t xml:space="preserve">Total area of logged only plots (ha)</w:t>
            </w:r>
          </w:p>
        </w:tc>
        <w:tc>
          <w:tcPr/>
          <w:p>
            <w:pPr>
              <w:pStyle w:val="Compact"/>
              <w:jc w:val="right"/>
            </w:pPr>
            <w:r>
              <w:t xml:space="preserve">Total area of logged and thinned plots (ha)</w:t>
            </w:r>
          </w:p>
        </w:tc>
      </w:tr>
      <w:tr>
        <w:tc>
          <w:tcPr/>
          <w:p>
            <w:pPr>
              <w:pStyle w:val="Compact"/>
              <w:jc w:val="left"/>
            </w:pPr>
            <w:r>
              <w:t xml:space="preserve">Corinto</w:t>
            </w:r>
          </w:p>
        </w:tc>
        <w:tc>
          <w:tcPr/>
          <w:p>
            <w:pPr>
              <w:pStyle w:val="Compact"/>
              <w:jc w:val="right"/>
            </w:pPr>
            <w:r>
              <w:t xml:space="preserve">10.0</w:t>
            </w:r>
          </w:p>
        </w:tc>
        <w:tc>
          <w:tcPr/>
          <w:p>
            <w:pPr>
              <w:pStyle w:val="Compact"/>
              <w:jc w:val="right"/>
            </w:pPr>
            <w:r>
              <w:t xml:space="preserve">29.0</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3.0</w:t>
            </w:r>
          </w:p>
        </w:tc>
      </w:tr>
      <w:tr>
        <w:tc>
          <w:tcPr/>
          <w:p>
            <w:pPr>
              <w:pStyle w:val="Compact"/>
              <w:jc w:val="left"/>
            </w:pPr>
            <w:r>
              <w:t xml:space="preserve">Lesong</w:t>
            </w:r>
          </w:p>
        </w:tc>
        <w:tc>
          <w:tcPr/>
          <w:p>
            <w:pPr>
              <w:pStyle w:val="Compact"/>
              <w:jc w:val="right"/>
            </w:pPr>
            <w:r>
              <w:t xml:space="preserve">12.0</w:t>
            </w:r>
          </w:p>
        </w:tc>
        <w:tc>
          <w:tcPr/>
          <w:p>
            <w:pPr>
              <w:pStyle w:val="Compact"/>
              <w:jc w:val="right"/>
            </w:pPr>
            <w:r>
              <w:t xml:space="preserve">30.0</w:t>
            </w:r>
          </w:p>
        </w:tc>
        <w:tc>
          <w:tcPr/>
          <w:p>
            <w:pPr>
              <w:pStyle w:val="Compact"/>
              <w:jc w:val="right"/>
            </w:pPr>
            <w:r>
              <w:t xml:space="preserve">4.0</w:t>
            </w:r>
          </w:p>
        </w:tc>
        <w:tc>
          <w:tcPr/>
          <w:p>
            <w:pPr>
              <w:pStyle w:val="Compact"/>
              <w:jc w:val="right"/>
            </w:pPr>
            <w:r>
              <w:t xml:space="preserve">8.00</w:t>
            </w:r>
          </w:p>
        </w:tc>
        <w:tc>
          <w:tcPr/>
          <w:p>
            <w:pPr>
              <w:pStyle w:val="Compact"/>
              <w:jc w:val="right"/>
            </w:pPr>
            <w:r>
              <w:t xml:space="preserve">0.0</w:t>
            </w:r>
          </w:p>
        </w:tc>
      </w:tr>
      <w:tr>
        <w:tc>
          <w:tcPr/>
          <w:p>
            <w:pPr>
              <w:pStyle w:val="Compact"/>
              <w:jc w:val="left"/>
            </w:pPr>
            <w:r>
              <w:t xml:space="preserve">Mbaiki</w:t>
            </w:r>
          </w:p>
        </w:tc>
        <w:tc>
          <w:tcPr/>
          <w:p>
            <w:pPr>
              <w:pStyle w:val="Compact"/>
              <w:jc w:val="right"/>
            </w:pPr>
            <w:r>
              <w:t xml:space="preserve">31.0</w:t>
            </w:r>
          </w:p>
        </w:tc>
        <w:tc>
          <w:tcPr/>
          <w:p>
            <w:pPr>
              <w:pStyle w:val="Compact"/>
              <w:jc w:val="right"/>
            </w:pPr>
            <w:r>
              <w:t xml:space="preserve">37.0</w:t>
            </w:r>
          </w:p>
        </w:tc>
        <w:tc>
          <w:tcPr/>
          <w:p>
            <w:pPr>
              <w:pStyle w:val="Compact"/>
              <w:jc w:val="right"/>
            </w:pPr>
            <w:r>
              <w:t xml:space="preserve">12.0</w:t>
            </w:r>
          </w:p>
        </w:tc>
        <w:tc>
          <w:tcPr/>
          <w:p>
            <w:pPr>
              <w:pStyle w:val="Compact"/>
              <w:jc w:val="right"/>
            </w:pPr>
            <w:r>
              <w:t xml:space="preserve">12.00</w:t>
            </w:r>
          </w:p>
        </w:tc>
        <w:tc>
          <w:tcPr/>
          <w:p>
            <w:pPr>
              <w:pStyle w:val="Compact"/>
              <w:jc w:val="right"/>
            </w:pPr>
            <w:r>
              <w:t xml:space="preserve">16.0</w:t>
            </w:r>
          </w:p>
        </w:tc>
      </w:tr>
      <w:tr>
        <w:tc>
          <w:tcPr/>
          <w:p>
            <w:pPr>
              <w:pStyle w:val="Compact"/>
              <w:jc w:val="left"/>
            </w:pPr>
            <w:r>
              <w:t xml:space="preserve">Paracou</w:t>
            </w:r>
          </w:p>
        </w:tc>
        <w:tc>
          <w:tcPr/>
          <w:p>
            <w:pPr>
              <w:pStyle w:val="Compact"/>
              <w:jc w:val="right"/>
            </w:pPr>
            <w:r>
              <w:t xml:space="preserve">21.0</w:t>
            </w:r>
          </w:p>
        </w:tc>
        <w:tc>
          <w:tcPr/>
          <w:p>
            <w:pPr>
              <w:pStyle w:val="Compact"/>
              <w:jc w:val="right"/>
            </w:pPr>
            <w:r>
              <w:t xml:space="preserve">34.0</w:t>
            </w:r>
          </w:p>
        </w:tc>
        <w:tc>
          <w:tcPr/>
          <w:p>
            <w:pPr>
              <w:pStyle w:val="Compact"/>
              <w:jc w:val="right"/>
            </w:pPr>
            <w:r>
              <w:t xml:space="preserve">37.5</w:t>
            </w:r>
          </w:p>
        </w:tc>
        <w:tc>
          <w:tcPr/>
          <w:p>
            <w:pPr>
              <w:pStyle w:val="Compact"/>
              <w:jc w:val="right"/>
            </w:pPr>
            <w:r>
              <w:t xml:space="preserve">18.75</w:t>
            </w:r>
          </w:p>
        </w:tc>
        <w:tc>
          <w:tcPr/>
          <w:p>
            <w:pPr>
              <w:pStyle w:val="Compact"/>
              <w:jc w:val="right"/>
            </w:pPr>
            <w:r>
              <w:t xml:space="preserve">37.5</w:t>
            </w:r>
          </w:p>
        </w:tc>
      </w:tr>
      <w:tr>
        <w:tc>
          <w:tcPr/>
          <w:p>
            <w:pPr>
              <w:pStyle w:val="Compact"/>
              <w:jc w:val="left"/>
            </w:pPr>
            <w:r>
              <w:t xml:space="preserve">SUAS</w:t>
            </w:r>
          </w:p>
        </w:tc>
        <w:tc>
          <w:tcPr/>
          <w:p>
            <w:pPr>
              <w:pStyle w:val="Compact"/>
              <w:jc w:val="right"/>
            </w:pPr>
            <w:r>
              <w:t xml:space="preserve">12.0</w:t>
            </w:r>
          </w:p>
        </w:tc>
        <w:tc>
          <w:tcPr/>
          <w:p>
            <w:pPr>
              <w:pStyle w:val="Compact"/>
              <w:jc w:val="right"/>
            </w:pPr>
            <w:r>
              <w:t xml:space="preserve">24.0</w:t>
            </w:r>
          </w:p>
        </w:tc>
        <w:tc>
          <w:tcPr/>
          <w:p>
            <w:pPr>
              <w:pStyle w:val="Compact"/>
              <w:jc w:val="right"/>
            </w:pPr>
            <w:r>
              <w:t xml:space="preserve">4.0</w:t>
            </w:r>
          </w:p>
        </w:tc>
        <w:tc>
          <w:tcPr/>
          <w:p>
            <w:pPr>
              <w:pStyle w:val="Compact"/>
              <w:jc w:val="right"/>
            </w:pPr>
            <w:r>
              <w:t xml:space="preserve">16.00</w:t>
            </w:r>
          </w:p>
        </w:tc>
        <w:tc>
          <w:tcPr/>
          <w:p>
            <w:pPr>
              <w:pStyle w:val="Compact"/>
              <w:jc w:val="right"/>
            </w:pPr>
            <w:r>
              <w:t xml:space="preserve">0.0</w:t>
            </w:r>
          </w:p>
        </w:tc>
      </w:tr>
      <w:tr>
        <w:tc>
          <w:tcPr/>
          <w:p>
            <w:pPr>
              <w:pStyle w:val="Compact"/>
              <w:jc w:val="left"/>
            </w:pPr>
            <w:r>
              <w:t xml:space="preserve">Sungai Lalang</w:t>
            </w:r>
          </w:p>
        </w:tc>
        <w:tc>
          <w:tcPr/>
          <w:p>
            <w:pPr>
              <w:pStyle w:val="Compact"/>
              <w:jc w:val="right"/>
            </w:pPr>
            <w:r>
              <w:t xml:space="preserve">11.0</w:t>
            </w:r>
          </w:p>
        </w:tc>
        <w:tc>
          <w:tcPr/>
          <w:p>
            <w:pPr>
              <w:pStyle w:val="Compact"/>
              <w:jc w:val="right"/>
            </w:pPr>
            <w:r>
              <w:t xml:space="preserve">27.0</w:t>
            </w:r>
          </w:p>
        </w:tc>
        <w:tc>
          <w:tcPr/>
          <w:p>
            <w:pPr>
              <w:pStyle w:val="Compact"/>
              <w:jc w:val="right"/>
            </w:pPr>
            <w:r>
              <w:t xml:space="preserve">3.0</w:t>
            </w:r>
          </w:p>
        </w:tc>
        <w:tc>
          <w:tcPr/>
          <w:p>
            <w:pPr>
              <w:pStyle w:val="Compact"/>
              <w:jc w:val="right"/>
            </w:pPr>
            <w:r>
              <w:t xml:space="preserve">6.00</w:t>
            </w:r>
          </w:p>
        </w:tc>
        <w:tc>
          <w:tcPr/>
          <w:p>
            <w:pPr>
              <w:pStyle w:val="Compact"/>
              <w:jc w:val="right"/>
            </w:pPr>
            <w:r>
              <w:t xml:space="preserve">0.0</w:t>
            </w:r>
          </w:p>
        </w:tc>
      </w:tr>
      <w:tr>
        <w:tc>
          <w:tcPr/>
          <w:p>
            <w:pPr>
              <w:pStyle w:val="Compact"/>
              <w:jc w:val="left"/>
            </w:pPr>
            <w:r>
              <w:t xml:space="preserve">Tapajos Km67</w:t>
            </w:r>
          </w:p>
        </w:tc>
        <w:tc>
          <w:tcPr/>
          <w:p>
            <w:pPr>
              <w:pStyle w:val="Compact"/>
              <w:jc w:val="right"/>
            </w:pPr>
            <w:r>
              <w:t xml:space="preserve">10.5</w:t>
            </w:r>
          </w:p>
        </w:tc>
        <w:tc>
          <w:tcPr/>
          <w:p>
            <w:pPr>
              <w:pStyle w:val="Compact"/>
              <w:jc w:val="right"/>
            </w:pPr>
            <w:r>
              <w:t xml:space="preserve">35.5</w:t>
            </w:r>
          </w:p>
        </w:tc>
        <w:tc>
          <w:tcPr/>
          <w:p>
            <w:pPr>
              <w:pStyle w:val="Compact"/>
              <w:jc w:val="right"/>
            </w:pPr>
            <w:r>
              <w:t xml:space="preserve">4.5</w:t>
            </w:r>
          </w:p>
        </w:tc>
        <w:tc>
          <w:tcPr/>
          <w:p>
            <w:pPr>
              <w:pStyle w:val="Compact"/>
              <w:jc w:val="right"/>
            </w:pPr>
            <w:r>
              <w:t xml:space="preserve">12.00</w:t>
            </w:r>
          </w:p>
        </w:tc>
        <w:tc>
          <w:tcPr/>
          <w:p>
            <w:pPr>
              <w:pStyle w:val="Compact"/>
              <w:jc w:val="right"/>
            </w:pPr>
            <w:r>
              <w:t xml:space="preserve">0.0</w:t>
            </w:r>
          </w:p>
        </w:tc>
      </w:tr>
      <w:tr>
        <w:tc>
          <w:tcPr/>
          <w:p>
            <w:pPr>
              <w:pStyle w:val="Compact"/>
              <w:jc w:val="left"/>
            </w:pPr>
            <w:r>
              <w:t xml:space="preserve">Ulu Muda</w:t>
            </w:r>
          </w:p>
        </w:tc>
        <w:tc>
          <w:tcPr/>
          <w:p>
            <w:pPr>
              <w:pStyle w:val="Compact"/>
              <w:jc w:val="right"/>
            </w:pPr>
            <w:r>
              <w:t xml:space="preserve">12.0</w:t>
            </w:r>
          </w:p>
        </w:tc>
        <w:tc>
          <w:tcPr/>
          <w:p>
            <w:pPr>
              <w:pStyle w:val="Compact"/>
              <w:jc w:val="right"/>
            </w:pPr>
            <w:r>
              <w:t xml:space="preserve">25.0</w:t>
            </w:r>
          </w:p>
        </w:tc>
        <w:tc>
          <w:tcPr/>
          <w:p>
            <w:pPr>
              <w:pStyle w:val="Compact"/>
              <w:jc w:val="right"/>
            </w:pPr>
            <w:r>
              <w:t xml:space="preserve">3.0</w:t>
            </w:r>
          </w:p>
        </w:tc>
        <w:tc>
          <w:tcPr/>
          <w:p>
            <w:pPr>
              <w:pStyle w:val="Compact"/>
              <w:jc w:val="right"/>
            </w:pPr>
            <w:r>
              <w:t xml:space="preserve">6.00</w:t>
            </w:r>
          </w:p>
        </w:tc>
        <w:tc>
          <w:tcPr/>
          <w:p>
            <w:pPr>
              <w:pStyle w:val="Compact"/>
              <w:jc w:val="right"/>
            </w:pPr>
            <w:r>
              <w:t xml:space="preserve">0.0</w:t>
            </w:r>
          </w:p>
        </w:tc>
      </w:tr>
    </w:tbl>
    <w:p>
      <w:pPr>
        <w:pStyle w:val="BodyText"/>
      </w:pPr>
      <w:r>
        <w:t xml:space="preserve">At each of these sites, all stems with a diameter of at least 10 cm at breast height (DBH) have been measured and identified to the lowest possible taxonomic level: 92% to species; 4% to genus; 4% unidentified.</w:t>
      </w:r>
    </w:p>
    <w:bookmarkEnd w:id="12"/>
    <w:bookmarkStart w:id="13" w:name="data-preparation"/>
    <w:p>
      <w:pPr>
        <w:pStyle w:val="Heading2"/>
      </w:pPr>
      <w:r>
        <w:t xml:space="preserve">Data preparation</w:t>
      </w:r>
    </w:p>
    <w:p>
      <w:pPr>
        <w:pStyle w:val="FirstParagraph"/>
      </w:pPr>
      <w:r>
        <w:t xml:space="preserve">Within each site, we standardised the area of each plot to create a similar area close to one hectare. This was done to minimise the impact of small plots on the analysis. To achieve this, we grouped the 0.25 ha plots in the Tapajós site into groups of three, ensuring that plots located within the same blocs remained together. Conversely, we divided the 4 and 6.24 ha plots (MBaiki and Paracou) into four smaller plots.</w:t>
      </w:r>
    </w:p>
    <w:p>
      <w:pPr>
        <w:pStyle w:val="BodyText"/>
      </w:pPr>
      <w:r>
        <w:t xml:space="preserve">We computed aboveground biomass (AGB) values for each tree based on equation 7 described in</w:t>
      </w:r>
      <w:r>
        <w:t xml:space="preserve"> </w:t>
      </w:r>
      <w:r>
        <w:t xml:space="preserve">Chave et al. (2014)</w:t>
      </w:r>
      <w:r>
        <w:t xml:space="preserve">, using the R package BIOMASS</w:t>
      </w:r>
      <w:r>
        <w:t xml:space="preserve"> </w:t>
      </w:r>
      <w:r>
        <w:t xml:space="preserve">(Réjou-Méchain et al. 2017)</w:t>
      </w:r>
      <w:r>
        <w:t xml:space="preserve">. This equation estimates AGB based on a tree’s DBH and wood density. Wood density values were assigned at the species or genus level and extracted from the Global Wood Density Database</w:t>
      </w:r>
      <w:r>
        <w:t xml:space="preserve"> </w:t>
      </w:r>
      <w:r>
        <w:t xml:space="preserve">(Zanne et al. 2009)</w:t>
      </w:r>
      <w:r>
        <w:t xml:space="preserve">.</w:t>
      </w:r>
    </w:p>
    <w:p>
      <w:pPr>
        <w:pStyle w:val="BodyText"/>
      </w:pPr>
      <w:r>
        <w:t xml:space="preserve">Plot-level AGB densities were estimated as the sum of the AGB of all trees with a DBH of at least 10 cm in a plot at a given census, standardised by the plot area. The aboveground wood mortality (AWM) of a given census interval was estimated as the sum of the AGB of all trees that died during that interval, divided by its duration and by the plot area. Aboveground woody productivity for a given census interval was estimated as the sum of the AGB of all recruited trees, plus the AGB change of surviving trees, divided by the census interval duration and the plot area. We corrected excessive changes in DBH in some trees (often due to the presence of buttresses) to avoid absurd productivity values; the correction method is described in the supplementary material. Both productivity and mortality were assigned to the year in the middle of the census interval.</w:t>
      </w:r>
    </w:p>
    <w:bookmarkEnd w:id="13"/>
    <w:bookmarkStart w:id="14" w:name="modelling-framework"/>
    <w:p>
      <w:pPr>
        <w:pStyle w:val="Heading2"/>
      </w:pPr>
      <w:r>
        <w:t xml:space="preserve">Modelling framework</w:t>
      </w:r>
    </w:p>
    <w:p>
      <w:pPr>
        <w:pStyle w:val="FirstParagraph"/>
      </w:pPr>
      <w:r>
        <w:t xml:space="preserve">We modelled post-logging aboveground biomass (AGB) fluxes in a Bayesian framework. The AWP and AWM at census</w:t>
      </w:r>
      <w:r>
        <w:t xml:space="preserve"> </w:t>
      </w:r>
      <m:oMath>
        <m:r>
          <m:t>c</m:t>
        </m:r>
      </m:oMath>
      <w:r>
        <w:t xml:space="preserve"> </w:t>
      </w:r>
      <w:r>
        <w:t xml:space="preserve">in plot</w:t>
      </w:r>
      <w:r>
        <w:t xml:space="preserve"> </w:t>
      </w:r>
      <m:oMath>
        <m:r>
          <m:t>p</m:t>
        </m:r>
      </m:oMath>
      <w:r>
        <w:t xml:space="preserve"> </w:t>
      </w:r>
      <w:r>
        <w:t xml:space="preserve">and site</w:t>
      </w:r>
      <w:r>
        <w:t xml:space="preserve"> </w:t>
      </w:r>
      <m:oMath>
        <m:r>
          <m:t>s</m:t>
        </m:r>
      </m:oMath>
      <w:r>
        <w:t xml:space="preserve"> </w:t>
      </w:r>
      <w:r>
        <w:t xml:space="preserve">were modelled using log-normal distributions:</w:t>
      </w:r>
    </w:p>
    <w:p>
      <w:pPr>
        <w:pStyle w:val="BodyText"/>
      </w:pPr>
      <m:oMathPara>
        <m:oMathParaPr>
          <m:jc m:val="center"/>
        </m:oMathParaPr>
        <m:oMath>
          <m:r>
            <m:t>l</m:t>
          </m:r>
          <m:r>
            <m:t>o</m:t>
          </m:r>
          <m:r>
            <m:t>g</m:t>
          </m:r>
          <m:r>
            <m:rPr>
              <m:sty m:val="p"/>
            </m:rPr>
            <m:t>(</m:t>
          </m:r>
          <m:r>
            <m:t>A</m:t>
          </m:r>
          <m:r>
            <m:t>W</m:t>
          </m:r>
          <m:sSub>
            <m:e>
              <m:r>
                <m:t>P</m:t>
              </m:r>
            </m:e>
            <m:sub>
              <m:r>
                <m:t>c</m:t>
              </m:r>
              <m:r>
                <m:rPr>
                  <m:sty m:val="p"/>
                </m:rPr>
                <m:t>,</m:t>
              </m:r>
              <m:r>
                <m:t>p</m:t>
              </m:r>
              <m:r>
                <m:rPr>
                  <m:sty m:val="p"/>
                </m:rPr>
                <m:t>,</m:t>
              </m:r>
              <m:r>
                <m:t>s</m:t>
              </m:r>
            </m:sub>
          </m:sSub>
          <m:r>
            <m:rPr>
              <m:sty m:val="p"/>
            </m:rPr>
            <m:t>)</m:t>
          </m:r>
          <m:r>
            <m:rPr>
              <m:sty m:val="p"/>
            </m:rPr>
            <m:t>∼</m:t>
          </m:r>
          <m:r>
            <m:rPr>
              <m:scr m:val="script"/>
              <m:sty m:val="p"/>
            </m:rPr>
            <m:t>N</m:t>
          </m:r>
          <m:r>
            <m:rPr>
              <m:sty m:val="p"/>
            </m:rPr>
            <m:t>(</m:t>
          </m:r>
          <m:r>
            <m:t>l</m:t>
          </m:r>
          <m:r>
            <m:t>o</m:t>
          </m:r>
          <m:r>
            <m:t>g</m:t>
          </m:r>
          <m:r>
            <m:rPr>
              <m:sty m:val="p"/>
            </m:rPr>
            <m:t>(</m:t>
          </m:r>
          <m:r>
            <m:t>p</m:t>
          </m:r>
          <m:r>
            <m:t>r</m:t>
          </m:r>
          <m:r>
            <m:t>o</m:t>
          </m:r>
          <m:sSub>
            <m:e>
              <m:r>
                <m:t>d</m:t>
              </m:r>
            </m:e>
            <m:sub>
              <m:r>
                <m:t>c</m:t>
              </m:r>
              <m:r>
                <m:rPr>
                  <m:sty m:val="p"/>
                </m:rPr>
                <m:t>,</m:t>
              </m:r>
              <m:r>
                <m:t>p</m:t>
              </m:r>
              <m:r>
                <m:rPr>
                  <m:sty m:val="p"/>
                </m:rPr>
                <m:t>,</m:t>
              </m:r>
              <m:r>
                <m:t>s</m:t>
              </m:r>
            </m:sub>
          </m:sSub>
          <m:r>
            <m:rPr>
              <m:sty m:val="p"/>
            </m:rPr>
            <m:t>)</m:t>
          </m:r>
          <m:r>
            <m:rPr>
              <m:sty m:val="p"/>
            </m:rPr>
            <m:t>,</m:t>
          </m:r>
          <m:sSub>
            <m:e>
              <m:r>
                <m:t>σ</m:t>
              </m:r>
            </m:e>
            <m:sub>
              <m:r>
                <m:t>p</m:t>
              </m:r>
            </m:sub>
          </m:sSub>
          <m:r>
            <m:rPr>
              <m:sty m:val="p"/>
            </m:rPr>
            <m:t>)</m:t>
          </m:r>
        </m:oMath>
      </m:oMathPara>
    </w:p>
    <w:p>
      <w:pPr>
        <w:pStyle w:val="FirstParagraph"/>
      </w:pPr>
      <m:oMathPara>
        <m:oMathParaPr>
          <m:jc m:val="center"/>
        </m:oMathParaPr>
        <m:oMath>
          <m:r>
            <m:t>l</m:t>
          </m:r>
          <m:r>
            <m:t>o</m:t>
          </m:r>
          <m:r>
            <m:t>g</m:t>
          </m:r>
          <m:r>
            <m:rPr>
              <m:sty m:val="p"/>
            </m:rPr>
            <m:t>(</m:t>
          </m:r>
          <m:r>
            <m:t>A</m:t>
          </m:r>
          <m:r>
            <m:t>W</m:t>
          </m:r>
          <m:sSub>
            <m:e>
              <m:r>
                <m:t>M</m:t>
              </m:r>
            </m:e>
            <m:sub>
              <m:r>
                <m:t>c</m:t>
              </m:r>
              <m:r>
                <m:rPr>
                  <m:sty m:val="p"/>
                </m:rPr>
                <m:t>,</m:t>
              </m:r>
              <m:r>
                <m:t>p</m:t>
              </m:r>
              <m:r>
                <m:rPr>
                  <m:sty m:val="p"/>
                </m:rPr>
                <m:t>,</m:t>
              </m:r>
              <m:r>
                <m:t>s</m:t>
              </m:r>
            </m:sub>
          </m:sSub>
          <m:r>
            <m:rPr>
              <m:sty m:val="p"/>
            </m:rPr>
            <m:t>)</m:t>
          </m:r>
          <m:r>
            <m:rPr>
              <m:sty m:val="p"/>
            </m:rPr>
            <m:t>∼</m:t>
          </m:r>
          <m:r>
            <m:rPr>
              <m:scr m:val="script"/>
              <m:sty m:val="p"/>
            </m:rPr>
            <m:t>N</m:t>
          </m:r>
          <m:r>
            <m:rPr>
              <m:sty m:val="p"/>
            </m:rPr>
            <m:t>(</m:t>
          </m:r>
          <m:r>
            <m:t>l</m:t>
          </m:r>
          <m:r>
            <m:t>o</m:t>
          </m:r>
          <m:r>
            <m:t>g</m:t>
          </m:r>
          <m:r>
            <m:rPr>
              <m:sty m:val="p"/>
            </m:rPr>
            <m:t>(</m:t>
          </m:r>
          <m:r>
            <m:t>m</m:t>
          </m:r>
          <m:r>
            <m:t>o</m:t>
          </m:r>
          <m:r>
            <m:t>r</m:t>
          </m:r>
          <m:sSub>
            <m:e>
              <m:r>
                <m:t>t</m:t>
              </m:r>
            </m:e>
            <m:sub>
              <m:r>
                <m:t>c</m:t>
              </m:r>
              <m:r>
                <m:rPr>
                  <m:sty m:val="p"/>
                </m:rPr>
                <m:t>,</m:t>
              </m:r>
              <m:r>
                <m:t>p</m:t>
              </m:r>
              <m:r>
                <m:rPr>
                  <m:sty m:val="p"/>
                </m:rPr>
                <m:t>,</m:t>
              </m:r>
              <m:r>
                <m:t>s</m:t>
              </m:r>
            </m:sub>
          </m:sSub>
          <m:r>
            <m:rPr>
              <m:sty m:val="p"/>
            </m:rPr>
            <m:t>)</m:t>
          </m:r>
          <m:r>
            <m:rPr>
              <m:sty m:val="p"/>
            </m:rPr>
            <m:t>,</m:t>
          </m:r>
          <m:sSub>
            <m:e>
              <m:r>
                <m:t>σ</m:t>
              </m:r>
            </m:e>
            <m:sub>
              <m:r>
                <m:t>m</m:t>
              </m:r>
            </m:sub>
          </m:sSub>
          <m:r>
            <m:rPr>
              <m:sty m:val="p"/>
            </m:rPr>
            <m:t>)</m:t>
          </m:r>
        </m:oMath>
      </m:oMathPara>
    </w:p>
    <w:p>
      <w:pPr>
        <w:pStyle w:val="FirstParagraph"/>
      </w:pPr>
      <m:oMath>
        <m:r>
          <m:t>p</m:t>
        </m:r>
        <m:r>
          <m:t>r</m:t>
        </m:r>
        <m:r>
          <m:t>o</m:t>
        </m:r>
        <m:sSub>
          <m:e>
            <m:r>
              <m:t>d</m:t>
            </m:r>
          </m:e>
          <m:sub>
            <m:r>
              <m:t>c</m:t>
            </m:r>
            <m:r>
              <m:rPr>
                <m:sty m:val="p"/>
              </m:rPr>
              <m:t>,</m:t>
            </m:r>
            <m:r>
              <m:t>p</m:t>
            </m:r>
            <m:r>
              <m:rPr>
                <m:sty m:val="p"/>
              </m:rPr>
              <m:t>,</m:t>
            </m:r>
            <m:r>
              <m:t>s</m:t>
            </m:r>
          </m:sub>
        </m:sSub>
      </m:oMath>
      <w:r>
        <w:t xml:space="preserve"> </w:t>
      </w:r>
      <w:r>
        <w:t xml:space="preserve">and</w:t>
      </w:r>
      <w:r>
        <w:t xml:space="preserve"> </w:t>
      </w:r>
      <m:oMath>
        <m:r>
          <m:t>m</m:t>
        </m:r>
        <m:r>
          <m:t>o</m:t>
        </m:r>
        <m:r>
          <m:t>r</m:t>
        </m:r>
        <m:sSub>
          <m:e>
            <m:r>
              <m:t>t</m:t>
            </m:r>
          </m:e>
          <m:sub>
            <m:r>
              <m:t>c</m:t>
            </m:r>
            <m:r>
              <m:rPr>
                <m:sty m:val="p"/>
              </m:rPr>
              <m:t>,</m:t>
            </m:r>
            <m:r>
              <m:t>p</m:t>
            </m:r>
            <m:r>
              <m:rPr>
                <m:sty m:val="p"/>
              </m:rPr>
              <m:t>,</m:t>
            </m:r>
            <m:r>
              <m:t>s</m:t>
            </m:r>
          </m:sub>
        </m:sSub>
      </m:oMath>
      <w:r>
        <w:t xml:space="preserve"> </w:t>
      </w:r>
      <w:r>
        <w:t xml:space="preserve">represent the median AWP and AWM predictions for census</w:t>
      </w:r>
      <w:r>
        <w:t xml:space="preserve"> </w:t>
      </w:r>
      <m:oMath>
        <m:r>
          <m:t>c</m:t>
        </m:r>
      </m:oMath>
      <w:r>
        <w:t xml:space="preserve">, plot</w:t>
      </w:r>
      <w:r>
        <w:t xml:space="preserve"> </w:t>
      </w:r>
      <m:oMath>
        <m:r>
          <m:t>p</m:t>
        </m:r>
      </m:oMath>
      <w:r>
        <w:t xml:space="preserve"> </w:t>
      </w:r>
      <w:r>
        <w:t xml:space="preserve">and site</w:t>
      </w:r>
      <w:r>
        <w:t xml:space="preserve"> </w:t>
      </w:r>
      <m:oMath>
        <m:r>
          <m:t>s</m:t>
        </m:r>
      </m:oMath>
      <w:r>
        <w:t xml:space="preserve">, and where the standard deviations of the log-normal distributions are represented by the symbols</w:t>
      </w:r>
      <w:r>
        <w:t xml:space="preserve"> </w:t>
      </w:r>
      <m:oMath>
        <m:sSub>
          <m:e>
            <m:r>
              <m:t>σ</m:t>
            </m:r>
          </m:e>
          <m:sub>
            <m:r>
              <m:t>p</m:t>
            </m:r>
          </m:sub>
        </m:sSub>
      </m:oMath>
      <w:r>
        <w:t xml:space="preserve"> </w:t>
      </w:r>
      <w:r>
        <w:t xml:space="preserve">and</w:t>
      </w:r>
      <w:r>
        <w:t xml:space="preserve"> </w:t>
      </w:r>
      <m:oMath>
        <m:sSub>
          <m:e>
            <m:r>
              <m:t>σ</m:t>
            </m:r>
          </m:e>
          <m:sub>
            <m:r>
              <m:t>m</m:t>
            </m:r>
          </m:sub>
        </m:sSub>
      </m:oMath>
      <w:r>
        <w:t xml:space="preserve">.</w:t>
      </w:r>
    </w:p>
    <w:p>
      <w:pPr>
        <w:pStyle w:val="BodyText"/>
      </w:pPr>
      <w:r>
        <w:t xml:space="preserve">We further expressed the median AWP and AWM predictions as follows:</w:t>
      </w:r>
    </w:p>
    <w:p>
      <w:pPr>
        <w:pStyle w:val="BodyText"/>
      </w:pPr>
      <m:oMathPara>
        <m:oMathParaPr>
          <m:jc m:val="center"/>
        </m:oMathParaPr>
        <m:oMath>
          <m:r>
            <m:t>p</m:t>
          </m:r>
          <m:r>
            <m:t>r</m:t>
          </m:r>
          <m:r>
            <m:t>o</m:t>
          </m:r>
          <m:sSub>
            <m:e>
              <m:r>
                <m:t>d</m:t>
              </m:r>
            </m:e>
            <m:sub>
              <m:r>
                <m:t>c</m:t>
              </m:r>
              <m:r>
                <m:rPr>
                  <m:sty m:val="p"/>
                </m:rPr>
                <m:t>,</m:t>
              </m:r>
              <m:r>
                <m:t>p</m:t>
              </m:r>
              <m:r>
                <m:rPr>
                  <m:sty m:val="p"/>
                </m:rPr>
                <m:t>,</m:t>
              </m:r>
              <m:r>
                <m:t>s</m:t>
              </m:r>
            </m:sub>
          </m:sSub>
          <m:r>
            <m:rPr>
              <m:sty m:val="p"/>
            </m:rPr>
            <m:t>=</m:t>
          </m:r>
          <m:sSub>
            <m:e>
              <m:r>
                <m:t>ω</m:t>
              </m:r>
            </m:e>
            <m:sub>
              <m:r>
                <m:t>s</m:t>
              </m:r>
            </m:sub>
          </m:sSub>
          <m:r>
            <m:rPr>
              <m:sty m:val="p"/>
            </m:rPr>
            <m:t>⋅</m:t>
          </m:r>
          <m:r>
            <m:t>A</m:t>
          </m:r>
          <m:r>
            <m:t>G</m:t>
          </m:r>
          <m:sSub>
            <m:e>
              <m:r>
                <m:t>B</m:t>
              </m:r>
            </m:e>
            <m:sub>
              <m:r>
                <m:t>c</m:t>
              </m:r>
              <m:r>
                <m:rPr>
                  <m:sty m:val="p"/>
                </m:rPr>
                <m:t>,</m:t>
              </m:r>
              <m:r>
                <m:t>p</m:t>
              </m:r>
              <m:r>
                <m:rPr>
                  <m:sty m:val="p"/>
                </m:rPr>
                <m:t>,</m:t>
              </m:r>
              <m:r>
                <m:t>s</m:t>
              </m:r>
            </m:sub>
          </m:sSub>
          <m:r>
            <m:rPr>
              <m:sty m:val="p"/>
            </m:rPr>
            <m:t>+</m:t>
          </m:r>
          <m:sSub>
            <m:e>
              <m:r>
                <m:t>δ</m:t>
              </m:r>
            </m:e>
            <m:sub>
              <m:r>
                <m:t>p</m:t>
              </m:r>
            </m:sub>
          </m:sSub>
          <m:sSup>
            <m:e>
              <m:d>
                <m:dPr>
                  <m:begChr m:val="("/>
                  <m:sepChr m:val=""/>
                  <m:endChr m:val=")"/>
                  <m:grow/>
                </m:dPr>
                <m:e>
                  <m:f>
                    <m:fPr>
                      <m:type m:val="bar"/>
                    </m:fPr>
                    <m:num>
                      <m:sSub>
                        <m:e>
                          <m:r>
                            <m:t>t</m:t>
                          </m:r>
                        </m:e>
                        <m:sub>
                          <m:r>
                            <m:t>c</m:t>
                          </m:r>
                          <m:r>
                            <m:rPr>
                              <m:sty m:val="p"/>
                            </m:rPr>
                            <m:t>,</m:t>
                          </m:r>
                          <m:r>
                            <m:t>p</m:t>
                          </m:r>
                          <m:r>
                            <m:rPr>
                              <m:sty m:val="p"/>
                            </m:rPr>
                            <m:t>,</m:t>
                          </m:r>
                          <m:r>
                            <m:t>s</m:t>
                          </m:r>
                        </m:sub>
                      </m:sSub>
                    </m:num>
                    <m:den>
                      <m:sSub>
                        <m:e>
                          <m:r>
                            <m:t>τ</m:t>
                          </m:r>
                        </m:e>
                        <m:sub>
                          <m:r>
                            <m:t>s</m:t>
                          </m:r>
                        </m:sub>
                      </m:sSub>
                    </m:den>
                  </m:f>
                  <m:r>
                    <m:t>e</m:t>
                  </m:r>
                  <m:r>
                    <m:t>x</m:t>
                  </m:r>
                  <m:r>
                    <m:t>p</m:t>
                  </m:r>
                  <m:d>
                    <m:dPr>
                      <m:begChr m:val="("/>
                      <m:sepChr m:val=""/>
                      <m:endChr m:val=")"/>
                      <m:grow/>
                    </m:dPr>
                    <m:e>
                      <m:r>
                        <m:t>1</m:t>
                      </m:r>
                      <m:r>
                        <m:rPr>
                          <m:sty m:val="p"/>
                        </m:rPr>
                        <m:t>−</m:t>
                      </m:r>
                      <m:f>
                        <m:fPr>
                          <m:type m:val="bar"/>
                        </m:fPr>
                        <m:num>
                          <m:sSub>
                            <m:e>
                              <m:r>
                                <m:t>t</m:t>
                              </m:r>
                            </m:e>
                            <m:sub>
                              <m:r>
                                <m:t>c</m:t>
                              </m:r>
                              <m:r>
                                <m:rPr>
                                  <m:sty m:val="p"/>
                                </m:rPr>
                                <m:t>,</m:t>
                              </m:r>
                              <m:r>
                                <m:t>p</m:t>
                              </m:r>
                              <m:r>
                                <m:rPr>
                                  <m:sty m:val="p"/>
                                </m:rPr>
                                <m:t>,</m:t>
                              </m:r>
                              <m:r>
                                <m:t>s</m:t>
                              </m:r>
                            </m:sub>
                          </m:sSub>
                        </m:num>
                        <m:den>
                          <m:sSub>
                            <m:e>
                              <m:r>
                                <m:t>τ</m:t>
                              </m:r>
                            </m:e>
                            <m:sub>
                              <m:r>
                                <m:t>s</m:t>
                              </m:r>
                            </m:sub>
                          </m:sSub>
                        </m:den>
                      </m:f>
                    </m:e>
                  </m:d>
                </m:e>
              </m:d>
            </m:e>
            <m:sup>
              <m:sSub>
                <m:e>
                  <m:r>
                    <m:t>κ</m:t>
                  </m:r>
                </m:e>
                <m:sub>
                  <m:r>
                    <m:t>s</m:t>
                  </m:r>
                </m:sub>
              </m:sSub>
            </m:sup>
          </m:sSup>
        </m:oMath>
      </m:oMathPara>
    </w:p>
    <w:p>
      <w:pPr>
        <w:pStyle w:val="FirstParagraph"/>
      </w:pPr>
      <m:oMathPara>
        <m:oMathParaPr>
          <m:jc m:val="center"/>
        </m:oMathParaPr>
        <m:oMath>
          <m:r>
            <m:t>m</m:t>
          </m:r>
          <m:r>
            <m:t>o</m:t>
          </m:r>
          <m:r>
            <m:t>r</m:t>
          </m:r>
          <m:sSub>
            <m:e>
              <m:r>
                <m:t>t</m:t>
              </m:r>
            </m:e>
            <m:sub>
              <m:r>
                <m:t>c</m:t>
              </m:r>
              <m:r>
                <m:rPr>
                  <m:sty m:val="p"/>
                </m:rPr>
                <m:t>,</m:t>
              </m:r>
              <m:r>
                <m:t>p</m:t>
              </m:r>
              <m:r>
                <m:rPr>
                  <m:sty m:val="p"/>
                </m:rPr>
                <m:t>,</m:t>
              </m:r>
              <m:r>
                <m:t>s</m:t>
              </m:r>
            </m:sub>
          </m:sSub>
          <m:r>
            <m:rPr>
              <m:sty m:val="p"/>
            </m:rPr>
            <m:t>=</m:t>
          </m:r>
          <m:sSub>
            <m:e>
              <m:r>
                <m:t>ω</m:t>
              </m:r>
            </m:e>
            <m:sub>
              <m:r>
                <m:t>s</m:t>
              </m:r>
            </m:sub>
          </m:sSub>
          <m:r>
            <m:rPr>
              <m:sty m:val="p"/>
            </m:rPr>
            <m:t>⋅</m:t>
          </m:r>
          <m:r>
            <m:t>A</m:t>
          </m:r>
          <m:r>
            <m:t>G</m:t>
          </m:r>
          <m:sSub>
            <m:e>
              <m:r>
                <m:t>B</m:t>
              </m:r>
            </m:e>
            <m:sub>
              <m:r>
                <m:t>c</m:t>
              </m:r>
              <m:r>
                <m:rPr>
                  <m:sty m:val="p"/>
                </m:rPr>
                <m:t>,</m:t>
              </m:r>
              <m:r>
                <m:t>p</m:t>
              </m:r>
              <m:r>
                <m:rPr>
                  <m:sty m:val="p"/>
                </m:rPr>
                <m:t>,</m:t>
              </m:r>
              <m:r>
                <m:t>s</m:t>
              </m:r>
            </m:sub>
          </m:sSub>
          <m:r>
            <m:rPr>
              <m:sty m:val="p"/>
            </m:rPr>
            <m:t>+</m:t>
          </m:r>
          <m:sSub>
            <m:e>
              <m:r>
                <m:t>α</m:t>
              </m:r>
            </m:e>
            <m:sub>
              <m:r>
                <m:t>p</m:t>
              </m:r>
            </m:sub>
          </m:sSub>
          <m:r>
            <m:rPr>
              <m:sty m:val="p"/>
            </m:rPr>
            <m:t>⋅</m:t>
          </m:r>
          <m:r>
            <m:t>e</m:t>
          </m:r>
          <m:r>
            <m:t>x</m:t>
          </m:r>
          <m:r>
            <m:t>p</m:t>
          </m:r>
          <m:r>
            <m:rPr>
              <m:sty m:val="p"/>
            </m:rPr>
            <m:t>(</m:t>
          </m:r>
          <m:r>
            <m:rPr>
              <m:sty m:val="p"/>
            </m:rPr>
            <m:t>−</m:t>
          </m:r>
          <m:sSub>
            <m:e>
              <m:r>
                <m:t>λ</m:t>
              </m:r>
            </m:e>
            <m:sub>
              <m:r>
                <m:t>s</m:t>
              </m:r>
            </m:sub>
          </m:sSub>
          <m:r>
            <m:rPr>
              <m:sty m:val="p"/>
            </m:rPr>
            <m:t>⋅</m:t>
          </m:r>
          <m:sSub>
            <m:e>
              <m:r>
                <m:t>t</m:t>
              </m:r>
            </m:e>
            <m:sub>
              <m:r>
                <m:t>c</m:t>
              </m:r>
              <m:r>
                <m:rPr>
                  <m:sty m:val="p"/>
                </m:rPr>
                <m:t>,</m:t>
              </m:r>
              <m:r>
                <m:t>p</m:t>
              </m:r>
              <m:r>
                <m:rPr>
                  <m:sty m:val="p"/>
                </m:rPr>
                <m:t>,</m:t>
              </m:r>
              <m:r>
                <m:t>s</m:t>
              </m:r>
            </m:sub>
          </m:sSub>
          <m:r>
            <m:rPr>
              <m:sty m:val="p"/>
            </m:rPr>
            <m:t>)</m:t>
          </m:r>
        </m:oMath>
      </m:oMathPara>
    </w:p>
    <w:p>
      <w:pPr>
        <w:pStyle w:val="FirstParagraph"/>
      </w:pPr>
      <w:r>
        <w:t xml:space="preserve">where</w:t>
      </w:r>
      <w:r>
        <w:t xml:space="preserve"> </w:t>
      </w:r>
      <m:oMath>
        <m:r>
          <m:t>A</m:t>
        </m:r>
        <m:r>
          <m:t>G</m:t>
        </m:r>
        <m:sSub>
          <m:e>
            <m:r>
              <m:t>B</m:t>
            </m:r>
          </m:e>
          <m:sub>
            <m:r>
              <m:t>c</m:t>
            </m:r>
            <m:r>
              <m:rPr>
                <m:sty m:val="p"/>
              </m:rPr>
              <m:t>,</m:t>
            </m:r>
            <m:r>
              <m:t>p</m:t>
            </m:r>
            <m:r>
              <m:rPr>
                <m:sty m:val="p"/>
              </m:rPr>
              <m:t>,</m:t>
            </m:r>
            <m:r>
              <m:t>s</m:t>
            </m:r>
          </m:sub>
        </m:sSub>
      </m:oMath>
      <w:r>
        <w:t xml:space="preserve"> </w:t>
      </w:r>
      <w:r>
        <w:t xml:space="preserve">is the AGB of plot</w:t>
      </w:r>
      <w:r>
        <w:t xml:space="preserve"> </w:t>
      </w:r>
      <m:oMath>
        <m:r>
          <m:t>p</m:t>
        </m:r>
      </m:oMath>
      <w:r>
        <w:t xml:space="preserve"> </w:t>
      </w:r>
      <w:r>
        <w:t xml:space="preserve">at census</w:t>
      </w:r>
      <w:r>
        <w:t xml:space="preserve"> </w:t>
      </w:r>
      <m:oMath>
        <m:r>
          <m:t>c</m:t>
        </m:r>
      </m:oMath>
      <w:r>
        <w:t xml:space="preserve"> </w:t>
      </w:r>
      <w:r>
        <w:t xml:space="preserve">in site</w:t>
      </w:r>
      <w:r>
        <w:t xml:space="preserve"> </w:t>
      </w:r>
      <m:oMath>
        <m:r>
          <m:t>s</m:t>
        </m:r>
      </m:oMath>
      <w:r>
        <w:t xml:space="preserve"> </w:t>
      </w:r>
      <w:r>
        <w:t xml:space="preserve">and</w:t>
      </w:r>
      <w:r>
        <w:t xml:space="preserve"> </w:t>
      </w:r>
      <m:oMath>
        <m:sSub>
          <m:e>
            <m:r>
              <m:t>t</m:t>
            </m:r>
          </m:e>
          <m:sub>
            <m:r>
              <m:t>c</m:t>
            </m:r>
            <m:r>
              <m:rPr>
                <m:sty m:val="p"/>
              </m:rPr>
              <m:t>,</m:t>
            </m:r>
            <m:r>
              <m:t>p</m:t>
            </m:r>
            <m:r>
              <m:rPr>
                <m:sty m:val="p"/>
              </m:rPr>
              <m:t>,</m:t>
            </m:r>
            <m:r>
              <m:t>s</m:t>
            </m:r>
          </m:sub>
        </m:sSub>
      </m:oMath>
      <w:r>
        <w:t xml:space="preserve"> </w:t>
      </w:r>
      <w:r>
        <w:t xml:space="preserve">is the time since logging (in years) in plot</w:t>
      </w:r>
      <w:r>
        <w:t xml:space="preserve"> </w:t>
      </w:r>
      <m:oMath>
        <m:r>
          <m:t>p</m:t>
        </m:r>
      </m:oMath>
      <w:r>
        <w:t xml:space="preserve"> </w:t>
      </w:r>
      <w:r>
        <w:t xml:space="preserve">and site</w:t>
      </w:r>
      <w:r>
        <w:t xml:space="preserve"> </w:t>
      </w:r>
      <m:oMath>
        <m:r>
          <m:t>s</m:t>
        </m:r>
      </m:oMath>
      <w:r>
        <w:t xml:space="preserve"> </w:t>
      </w:r>
      <w:r>
        <w:t xml:space="preserve">at census</w:t>
      </w:r>
      <w:r>
        <w:t xml:space="preserve"> </w:t>
      </w:r>
      <m:oMath>
        <m:r>
          <m:t>c</m:t>
        </m:r>
      </m:oMath>
      <w:r>
        <w:t xml:space="preserve">. Both AWP and AWM are modelled as the sum of a base process proportional to AGB (with a proportionality coefficient of</w:t>
      </w:r>
      <w:r>
        <w:t xml:space="preserve"> </w:t>
      </w:r>
      <m:oMath>
        <m:sSub>
          <m:e>
            <m:r>
              <m:t>ω</m:t>
            </m:r>
          </m:e>
          <m:sub>
            <m:r>
              <m:t>s</m:t>
            </m:r>
          </m:sub>
        </m:sSub>
      </m:oMath>
      <w:r>
        <w:t xml:space="preserve">) and a short-term process tending towards zero as</w:t>
      </w:r>
      <w:r>
        <w:t xml:space="preserve"> </w:t>
      </w:r>
      <m:oMath>
        <m:sSub>
          <m:e>
            <m:r>
              <m:t>t</m:t>
            </m:r>
          </m:e>
          <m:sub>
            <m:r>
              <m:t>c</m:t>
            </m:r>
            <m:r>
              <m:rPr>
                <m:sty m:val="p"/>
              </m:rPr>
              <m:t>,</m:t>
            </m:r>
            <m:r>
              <m:t>p</m:t>
            </m:r>
            <m:r>
              <m:rPr>
                <m:sty m:val="p"/>
              </m:rPr>
              <m:t>,</m:t>
            </m:r>
            <m:r>
              <m:t>s</m:t>
            </m:r>
          </m:sub>
        </m:sSub>
      </m:oMath>
      <w:r>
        <w:t xml:space="preserve"> </w:t>
      </w:r>
      <w:r>
        <w:t xml:space="preserve">increases, representing extra productivity or mortality after logging. Therefore, the AWP and AWM are modelled to reach an equilibrium state when</w:t>
      </w:r>
      <w:r>
        <w:t xml:space="preserve"> </w:t>
      </w:r>
      <m:oMath>
        <m:r>
          <m:t>t</m:t>
        </m:r>
      </m:oMath>
      <w:r>
        <w:t xml:space="preserve"> </w:t>
      </w:r>
      <w:r>
        <w:t xml:space="preserve">tends towards infinity, whereby they are both proportional to the stable AGB (i.e. the fluxes in equal the fluxes out).</w:t>
      </w:r>
    </w:p>
    <w:p>
      <w:pPr>
        <w:pStyle w:val="BodyText"/>
      </w:pPr>
      <w:r>
        <w:t xml:space="preserve">This post-logging overproductivity is described by a hump-shaped function that peaks at</w:t>
      </w:r>
      <w:r>
        <w:t xml:space="preserve"> </w:t>
      </w:r>
      <m:oMath>
        <m:sSub>
          <m:e>
            <m:r>
              <m:t>t</m:t>
            </m:r>
          </m:e>
          <m:sub>
            <m:r>
              <m:t>c</m:t>
            </m:r>
            <m:r>
              <m:rPr>
                <m:sty m:val="p"/>
              </m:rPr>
              <m:t>,</m:t>
            </m:r>
            <m:r>
              <m:t>p</m:t>
            </m:r>
            <m:r>
              <m:rPr>
                <m:sty m:val="p"/>
              </m:rPr>
              <m:t>,</m:t>
            </m:r>
            <m:r>
              <m:t>s</m:t>
            </m:r>
          </m:sub>
        </m:sSub>
        <m:r>
          <m:rPr>
            <m:sty m:val="p"/>
          </m:rPr>
          <m:t>=</m:t>
        </m:r>
        <m:sSub>
          <m:e>
            <m:r>
              <m:t>τ</m:t>
            </m:r>
          </m:e>
          <m:sub>
            <m:r>
              <m:t>s</m:t>
            </m:r>
          </m:sub>
        </m:sSub>
      </m:oMath>
      <w:r>
        <w:t xml:space="preserve">, taking its maximum value of</w:t>
      </w:r>
      <w:r>
        <w:t xml:space="preserve"> </w:t>
      </w:r>
      <m:oMath>
        <m:sSub>
          <m:e>
            <m:r>
              <m:t>δ</m:t>
            </m:r>
          </m:e>
          <m:sub>
            <m:r>
              <m:t>p</m:t>
            </m:r>
          </m:sub>
        </m:sSub>
      </m:oMath>
      <w:r>
        <w:t xml:space="preserve">. The parameter</w:t>
      </w:r>
      <w:r>
        <w:t xml:space="preserve"> </w:t>
      </w:r>
      <m:oMath>
        <m:sSub>
          <m:e>
            <m:r>
              <m:t>κ</m:t>
            </m:r>
          </m:e>
          <m:sub>
            <m:r>
              <m:t>s</m:t>
            </m:r>
          </m:sub>
        </m:sSub>
        <m:r>
          <m:rPr>
            <m:sty m:val="p"/>
          </m:rPr>
          <m:t>&gt;</m:t>
        </m:r>
        <m:r>
          <m:t>0</m:t>
        </m:r>
      </m:oMath>
      <w:r>
        <w:t xml:space="preserve"> </w:t>
      </w:r>
      <w:r>
        <w:t xml:space="preserve">is a kurtosis parameter: values close to zero result in a flatter prod = f(t) curve, whereas larger values result in a curve that is more peaked around</w:t>
      </w:r>
      <w:r>
        <w:t xml:space="preserve"> </w:t>
      </w:r>
      <m:oMath>
        <m:sSub>
          <m:e>
            <m:r>
              <m:t>τ</m:t>
            </m:r>
          </m:e>
          <m:sub>
            <m:r>
              <m:t>s</m:t>
            </m:r>
          </m:sub>
        </m:sSub>
      </m:oMath>
      <w:r>
        <w:t xml:space="preserve">. As we expect disturbance intensity (which varies between plots) to have a strong effect on the values of</w:t>
      </w:r>
      <w:r>
        <w:t xml:space="preserve"> </w:t>
      </w:r>
      <m:oMath>
        <m:r>
          <m:t>δ</m:t>
        </m:r>
      </m:oMath>
      <w:r>
        <w:t xml:space="preserve"> </w:t>
      </w:r>
      <w:r>
        <w:t xml:space="preserve">(the total height of the hump), we decided to infer one value per plot. However, for identifiability reasons, we only inferred one value for the parameters</w:t>
      </w:r>
      <w:r>
        <w:t xml:space="preserve"> </w:t>
      </w:r>
      <m:oMath>
        <m:r>
          <m:t>τ</m:t>
        </m:r>
      </m:oMath>
      <w:r>
        <w:t xml:space="preserve"> </w:t>
      </w:r>
      <w:r>
        <w:t xml:space="preserve">and</w:t>
      </w:r>
      <w:r>
        <w:t xml:space="preserve"> </w:t>
      </w:r>
      <m:oMath>
        <m:r>
          <m:t>κ</m:t>
        </m:r>
      </m:oMath>
      <w:r>
        <w:t xml:space="preserve"> </w:t>
      </w:r>
      <w:r>
        <w:t xml:space="preserve">per site.</w:t>
      </w:r>
    </w:p>
    <w:p>
      <w:pPr>
        <w:pStyle w:val="BodyText"/>
      </w:pPr>
      <w:r>
        <w:t xml:space="preserve">Post-logging overmortality is described by a negative exponential function, which is monotonically decreasing. It takes a value of</w:t>
      </w:r>
      <w:r>
        <w:t xml:space="preserve"> </w:t>
      </w:r>
      <m:oMath>
        <m:r>
          <m:t>α</m:t>
        </m:r>
      </m:oMath>
      <w:r>
        <w:t xml:space="preserve"> </w:t>
      </w:r>
      <w:r>
        <w:t xml:space="preserve">just after logging and then decreases at a rate of</w:t>
      </w:r>
      <w:r>
        <w:t xml:space="preserve"> </w:t>
      </w:r>
      <m:oMath>
        <m:r>
          <m:t>λ</m:t>
        </m:r>
      </m:oMath>
      <w:r>
        <w:t xml:space="preserve">. As we also expect the value of</w:t>
      </w:r>
      <w:r>
        <w:t xml:space="preserve"> </w:t>
      </w:r>
      <m:oMath>
        <m:r>
          <m:t>α</m:t>
        </m:r>
      </m:oMath>
      <w:r>
        <w:t xml:space="preserve"> </w:t>
      </w:r>
      <w:r>
        <w:t xml:space="preserve">to be strongly affected by disturbance intensity, we inferred one value per plot but only one value of</w:t>
      </w:r>
      <w:r>
        <w:t xml:space="preserve"> </w:t>
      </w:r>
      <m:oMath>
        <m:r>
          <m:t>λ</m:t>
        </m:r>
      </m:oMath>
      <w:r>
        <w:t xml:space="preserve"> </w:t>
      </w:r>
      <w:r>
        <w:t xml:space="preserve">per site.</w:t>
      </w:r>
    </w:p>
    <w:p>
      <w:pPr>
        <w:pStyle w:val="BodyText"/>
      </w:pPr>
      <w:r>
        <w:t xml:space="preserve">We performed partial pooling of parameters</w:t>
      </w:r>
      <w:r>
        <w:t xml:space="preserve"> </w:t>
      </w:r>
      <m:oMath>
        <m:sSub>
          <m:e>
            <m:r>
              <m:t>ω</m:t>
            </m:r>
          </m:e>
          <m:sub>
            <m:r>
              <m:t>s</m:t>
            </m:r>
          </m:sub>
        </m:sSub>
      </m:oMath>
      <w:r>
        <w:t xml:space="preserve">,</w:t>
      </w:r>
      <w:r>
        <w:t xml:space="preserve"> </w:t>
      </w:r>
      <m:oMath>
        <m:sSub>
          <m:e>
            <m:r>
              <m:t>δ</m:t>
            </m:r>
          </m:e>
          <m:sub>
            <m:r>
              <m:t>p</m:t>
            </m:r>
          </m:sub>
        </m:sSub>
      </m:oMath>
      <w:r>
        <w:t xml:space="preserve">,</w:t>
      </w:r>
      <w:r>
        <w:t xml:space="preserve"> </w:t>
      </w:r>
      <m:oMath>
        <m:sSub>
          <m:e>
            <m:r>
              <m:t>τ</m:t>
            </m:r>
          </m:e>
          <m:sub>
            <m:r>
              <m:t>s</m:t>
            </m:r>
          </m:sub>
        </m:sSub>
      </m:oMath>
      <w:r>
        <w:t xml:space="preserve">,</w:t>
      </w:r>
      <w:r>
        <w:t xml:space="preserve"> </w:t>
      </w:r>
      <m:oMath>
        <m:sSub>
          <m:e>
            <m:r>
              <m:t>α</m:t>
            </m:r>
          </m:e>
          <m:sub>
            <m:r>
              <m:t>p</m:t>
            </m:r>
          </m:sub>
        </m:sSub>
      </m:oMath>
      <w:r>
        <w:t xml:space="preserve">,</w:t>
      </w:r>
      <w:r>
        <w:t xml:space="preserve"> </w:t>
      </w:r>
      <m:oMath>
        <m:sSub>
          <m:e>
            <m:r>
              <m:t>λ</m:t>
            </m:r>
          </m:e>
          <m:sub>
            <m:r>
              <m:t>s</m:t>
            </m:r>
          </m:sub>
        </m:sSub>
      </m:oMath>
      <w:r>
        <w:t xml:space="preserve"> </w:t>
      </w:r>
      <w:r>
        <w:t xml:space="preserve">by using the following hyperdistributions:</w:t>
      </w:r>
    </w:p>
    <w:p>
      <w:pPr>
        <w:pStyle w:val="BodyText"/>
      </w:pPr>
      <m:oMathPara>
        <m:oMathParaPr>
          <m:jc m:val="center"/>
        </m:oMathParaPr>
        <m:oMath>
          <m:sSub>
            <m:e>
              <m:r>
                <m:t>ω</m:t>
              </m:r>
            </m:e>
            <m:sub>
              <m:r>
                <m:t>s</m:t>
              </m:r>
            </m:sub>
          </m:sSub>
          <m:r>
            <m:rPr>
              <m:sty m:val="p"/>
            </m:rPr>
            <m:t>∼</m:t>
          </m:r>
          <m:r>
            <m:rPr>
              <m:scr m:val="script"/>
              <m:sty m:val="p"/>
            </m:rPr>
            <m:t>N</m:t>
          </m:r>
          <m:r>
            <m:rPr>
              <m:sty m:val="p"/>
            </m:rPr>
            <m:t>(</m:t>
          </m:r>
          <m:acc>
            <m:accPr>
              <m:chr m:val="‾"/>
            </m:accPr>
            <m:e>
              <m:r>
                <m:t>ω</m:t>
              </m:r>
            </m:e>
          </m:acc>
          <m:r>
            <m:rPr>
              <m:sty m:val="p"/>
            </m:rPr>
            <m:t>,</m:t>
          </m:r>
          <m:sSub>
            <m:e>
              <m:r>
                <m:t>σ</m:t>
              </m:r>
            </m:e>
            <m:sub>
              <m:r>
                <m:t>ω</m:t>
              </m:r>
            </m:sub>
          </m:sSub>
          <m:r>
            <m:rPr>
              <m:sty m:val="p"/>
            </m:rPr>
            <m:t>)</m:t>
          </m:r>
        </m:oMath>
      </m:oMathPara>
    </w:p>
    <w:p>
      <w:pPr>
        <w:pStyle w:val="FirstParagraph"/>
      </w:pPr>
      <m:oMathPara>
        <m:oMathParaPr>
          <m:jc m:val="center"/>
        </m:oMathParaPr>
        <m:oMath>
          <m:sSub>
            <m:e>
              <m:r>
                <m:t>δ</m:t>
              </m:r>
            </m:e>
            <m:sub>
              <m:r>
                <m:t>s</m:t>
              </m:r>
            </m:sub>
          </m:sSub>
          <m:r>
            <m:rPr>
              <m:sty m:val="p"/>
            </m:rPr>
            <m:t>∼</m:t>
          </m:r>
          <m:r>
            <m:rPr>
              <m:scr m:val="script"/>
              <m:sty m:val="p"/>
            </m:rPr>
            <m:t>N</m:t>
          </m:r>
          <m:r>
            <m:rPr>
              <m:sty m:val="p"/>
            </m:rPr>
            <m:t>(</m:t>
          </m:r>
          <m:acc>
            <m:accPr>
              <m:chr m:val="‾"/>
            </m:accPr>
            <m:e>
              <m:r>
                <m:t>δ</m:t>
              </m:r>
            </m:e>
          </m:acc>
          <m:r>
            <m:rPr>
              <m:sty m:val="p"/>
            </m:rPr>
            <m:t>,</m:t>
          </m:r>
          <m:sSub>
            <m:e>
              <m:r>
                <m:t>σ</m:t>
              </m:r>
            </m:e>
            <m:sub>
              <m:r>
                <m:t>δ</m:t>
              </m:r>
            </m:sub>
          </m:sSub>
          <m:r>
            <m:rPr>
              <m:sty m:val="p"/>
            </m:rPr>
            <m:t>)</m:t>
          </m:r>
        </m:oMath>
      </m:oMathPara>
    </w:p>
    <w:p>
      <w:pPr>
        <w:pStyle w:val="FirstParagraph"/>
      </w:pPr>
      <m:oMathPara>
        <m:oMathParaPr>
          <m:jc m:val="center"/>
        </m:oMathParaPr>
        <m:oMath>
          <m:sSub>
            <m:e>
              <m:r>
                <m:t>τ</m:t>
              </m:r>
            </m:e>
            <m:sub>
              <m:r>
                <m:t>s</m:t>
              </m:r>
            </m:sub>
          </m:sSub>
          <m:r>
            <m:rPr>
              <m:sty m:val="p"/>
            </m:rPr>
            <m:t>∼</m:t>
          </m:r>
          <m:r>
            <m:rPr>
              <m:scr m:val="script"/>
              <m:sty m:val="p"/>
            </m:rPr>
            <m:t>N</m:t>
          </m:r>
          <m:r>
            <m:rPr>
              <m:sty m:val="p"/>
            </m:rPr>
            <m:t>(</m:t>
          </m:r>
          <m:acc>
            <m:accPr>
              <m:chr m:val="‾"/>
            </m:accPr>
            <m:e>
              <m:r>
                <m:t>τ</m:t>
              </m:r>
            </m:e>
          </m:acc>
          <m:r>
            <m:rPr>
              <m:sty m:val="p"/>
            </m:rPr>
            <m:t>,</m:t>
          </m:r>
          <m:sSub>
            <m:e>
              <m:r>
                <m:t>σ</m:t>
              </m:r>
            </m:e>
            <m:sub>
              <m:r>
                <m:t>τ</m:t>
              </m:r>
            </m:sub>
          </m:sSub>
          <m:r>
            <m:rPr>
              <m:sty m:val="p"/>
            </m:rPr>
            <m:t>)</m:t>
          </m:r>
        </m:oMath>
      </m:oMathPara>
    </w:p>
    <w:p>
      <w:pPr>
        <w:pStyle w:val="FirstParagraph"/>
      </w:pPr>
      <m:oMathPara>
        <m:oMathParaPr>
          <m:jc m:val="center"/>
        </m:oMathParaPr>
        <m:oMath>
          <m:sSub>
            <m:e>
              <m:r>
                <m:t>α</m:t>
              </m:r>
            </m:e>
            <m:sub>
              <m:r>
                <m:t>s</m:t>
              </m:r>
            </m:sub>
          </m:sSub>
          <m:r>
            <m:rPr>
              <m:sty m:val="p"/>
            </m:rPr>
            <m:t>∼</m:t>
          </m:r>
          <m:r>
            <m:rPr>
              <m:scr m:val="script"/>
              <m:sty m:val="p"/>
            </m:rPr>
            <m:t>N</m:t>
          </m:r>
          <m:r>
            <m:rPr>
              <m:sty m:val="p"/>
            </m:rPr>
            <m:t>(</m:t>
          </m:r>
          <m:acc>
            <m:accPr>
              <m:chr m:val="‾"/>
            </m:accPr>
            <m:e>
              <m:r>
                <m:t>α</m:t>
              </m:r>
            </m:e>
          </m:acc>
          <m:r>
            <m:rPr>
              <m:sty m:val="p"/>
            </m:rPr>
            <m:t>,</m:t>
          </m:r>
          <m:sSub>
            <m:e>
              <m:r>
                <m:t>σ</m:t>
              </m:r>
            </m:e>
            <m:sub>
              <m:r>
                <m:t>α</m:t>
              </m:r>
            </m:sub>
          </m:sSub>
          <m:r>
            <m:rPr>
              <m:sty m:val="p"/>
            </m:rPr>
            <m:t>)</m:t>
          </m:r>
        </m:oMath>
      </m:oMathPara>
    </w:p>
    <w:p>
      <w:pPr>
        <w:pStyle w:val="FirstParagraph"/>
      </w:pPr>
      <m:oMathPara>
        <m:oMathParaPr>
          <m:jc m:val="center"/>
        </m:oMathParaPr>
        <m:oMath>
          <m:sSub>
            <m:e>
              <m:r>
                <m:t>λ</m:t>
              </m:r>
            </m:e>
            <m:sub>
              <m:r>
                <m:t>s</m:t>
              </m:r>
            </m:sub>
          </m:sSub>
          <m:r>
            <m:rPr>
              <m:sty m:val="p"/>
            </m:rPr>
            <m:t>∼</m:t>
          </m:r>
          <m:r>
            <m:rPr>
              <m:scr m:val="script"/>
              <m:sty m:val="p"/>
            </m:rPr>
            <m:t>N</m:t>
          </m:r>
          <m:r>
            <m:rPr>
              <m:sty m:val="p"/>
            </m:rPr>
            <m:t>(</m:t>
          </m:r>
          <m:acc>
            <m:accPr>
              <m:chr m:val="‾"/>
            </m:accPr>
            <m:e>
              <m:r>
                <m:t>λ</m:t>
              </m:r>
            </m:e>
          </m:acc>
          <m:r>
            <m:rPr>
              <m:sty m:val="p"/>
            </m:rPr>
            <m:t>,</m:t>
          </m:r>
          <m:sSub>
            <m:e>
              <m:r>
                <m:t>σ</m:t>
              </m:r>
            </m:e>
            <m:sub>
              <m:r>
                <m:t>λ</m:t>
              </m:r>
            </m:sub>
          </m:sSub>
          <m:r>
            <m:rPr>
              <m:sty m:val="p"/>
            </m:rPr>
            <m:t>)</m:t>
          </m:r>
        </m:oMath>
      </m:oMathPara>
    </w:p>
    <w:p>
      <w:pPr>
        <w:pStyle w:val="FirstParagraph"/>
      </w:pPr>
      <w:r>
        <w:t xml:space="preserve">We did not add a hyperdistribution for the parameter</w:t>
      </w:r>
      <w:r>
        <w:t xml:space="preserve"> </w:t>
      </w:r>
      <m:oMath>
        <m:sSub>
          <m:e>
            <m:r>
              <m:t>κ</m:t>
            </m:r>
          </m:e>
          <m:sub>
            <m:r>
              <m:t>s</m:t>
            </m:r>
          </m:sub>
        </m:sSub>
      </m:oMath>
      <w:r>
        <w:t xml:space="preserve"> </w:t>
      </w:r>
      <w:r>
        <w:t xml:space="preserve">because the site with the most data was coincidentally predicted to have a very low</w:t>
      </w:r>
      <w:r>
        <w:t xml:space="preserve"> </w:t>
      </w:r>
      <m:oMath>
        <m:sSub>
          <m:e>
            <m:r>
              <m:t>κ</m:t>
            </m:r>
          </m:e>
          <m:sub>
            <m:r>
              <m:t>s</m:t>
            </m:r>
          </m:sub>
        </m:sSub>
      </m:oMath>
      <w:r>
        <w:t xml:space="preserve">. Adding a hyperdistribution influenced the results to such an extent that it produced a strong bias in all the other sites (see Supplementary Material).</w:t>
      </w:r>
    </w:p>
    <w:p>
      <w:pPr>
        <w:pStyle w:val="Compact"/>
        <w:numPr>
          <w:ilvl w:val="0"/>
          <w:numId w:val="1001"/>
        </w:numPr>
      </w:pPr>
      <w:r>
        <w:t xml:space="preserve">priors</w:t>
      </w:r>
    </w:p>
    <w:bookmarkEnd w:id="14"/>
    <w:bookmarkStart w:id="22" w:name="key-indicators-explanatory-variables"/>
    <w:p>
      <w:pPr>
        <w:pStyle w:val="Heading2"/>
      </w:pPr>
      <w:r>
        <w:t xml:space="preserve">Key indicators / explanatory variables</w:t>
      </w:r>
    </w:p>
    <w:bookmarkStart w:id="21" w:name="refs"/>
    <w:bookmarkStart w:id="16" w:name="ref-Chave2014"/>
    <w:p>
      <w:pPr>
        <w:pStyle w:val="Bibliography"/>
      </w:pPr>
      <w:r>
        <w:t xml:space="preserve">Chave, Jérôme, Maxime Réjou-Méchain, Alberto Búrquez, et al. 2014.</w:t>
      </w:r>
      <w:r>
        <w:t xml:space="preserve"> </w:t>
      </w:r>
      <w:r>
        <w:t xml:space="preserve">“</w:t>
      </w:r>
      <w:r>
        <w:t xml:space="preserve">Improved allometric models to estimate the aboveground biomass of tropical trees</w:t>
      </w:r>
      <w:r>
        <w:t xml:space="preserve">.”</w:t>
      </w:r>
      <w:r>
        <w:t xml:space="preserve"> </w:t>
      </w:r>
      <w:r>
        <w:rPr>
          <w:i/>
          <w:iCs/>
        </w:rPr>
        <w:t xml:space="preserve">Global Change Biology</w:t>
      </w:r>
      <w:r>
        <w:t xml:space="preserve"> </w:t>
      </w:r>
      <w:r>
        <w:t xml:space="preserve">20 (10): 3177–90.</w:t>
      </w:r>
      <w:r>
        <w:t xml:space="preserve"> </w:t>
      </w:r>
      <w:hyperlink r:id="rId15">
        <w:r>
          <w:rPr>
            <w:rStyle w:val="Hyperlink"/>
          </w:rPr>
          <w:t xml:space="preserve">https://doi.org/10.1111/gcb.12629</w:t>
        </w:r>
      </w:hyperlink>
      <w:r>
        <w:t xml:space="preserve">.</w:t>
      </w:r>
    </w:p>
    <w:bookmarkEnd w:id="16"/>
    <w:bookmarkStart w:id="18" w:name="ref-Rejou-Mechain2017"/>
    <w:p>
      <w:pPr>
        <w:pStyle w:val="Bibliography"/>
      </w:pPr>
      <w:r>
        <w:t xml:space="preserve">Réjou-Méchain, Maxime, Ariane Tanguy, Camille Piponiot, Jérôme Chave, and Bruno Hérault. 2017.</w:t>
      </w:r>
      <w:r>
        <w:t xml:space="preserve"> </w:t>
      </w:r>
      <w:r>
        <w:t xml:space="preserve">“Biomass: An r Package for Estimating Above</w:t>
      </w:r>
      <w:r>
        <w:t xml:space="preserve">-</w:t>
      </w:r>
      <w:r>
        <w:t xml:space="preserve">Ground Biomass and Its Uncertainty in Tropical Forests.”</w:t>
      </w:r>
      <w:r>
        <w:t xml:space="preserve"> </w:t>
      </w:r>
      <w:r>
        <w:rPr>
          <w:i/>
          <w:iCs/>
        </w:rPr>
        <w:t xml:space="preserve">Methods in Ecology and Evolution</w:t>
      </w:r>
      <w:r>
        <w:t xml:space="preserve"> </w:t>
      </w:r>
      <w:r>
        <w:t xml:space="preserve">8 (9): 1163–67.</w:t>
      </w:r>
      <w:r>
        <w:t xml:space="preserve"> </w:t>
      </w:r>
      <w:hyperlink r:id="rId17">
        <w:r>
          <w:rPr>
            <w:rStyle w:val="Hyperlink"/>
          </w:rPr>
          <w:t xml:space="preserve">https://doi.org/10.1111/2041-210x.12753</w:t>
        </w:r>
      </w:hyperlink>
      <w:r>
        <w:t xml:space="preserve">.</w:t>
      </w:r>
    </w:p>
    <w:bookmarkEnd w:id="18"/>
    <w:bookmarkStart w:id="20" w:name="ref-Zanne2009"/>
    <w:p>
      <w:pPr>
        <w:pStyle w:val="Bibliography"/>
      </w:pPr>
      <w:r>
        <w:t xml:space="preserve">Zanne, A. E., G. Lopez-Gonzalez, D. A. A Coomes, et al. 2009.</w:t>
      </w:r>
      <w:r>
        <w:t xml:space="preserve"> </w:t>
      </w:r>
      <w:r>
        <w:rPr>
          <w:i/>
          <w:iCs/>
        </w:rPr>
        <w:t xml:space="preserve">Global wood density database</w:t>
      </w:r>
      <w:r>
        <w:t xml:space="preserve">.</w:t>
      </w:r>
      <w:r>
        <w:t xml:space="preserve"> </w:t>
      </w:r>
      <w:hyperlink r:id="rId19">
        <w:r>
          <w:rPr>
            <w:rStyle w:val="Hyperlink"/>
          </w:rPr>
          <w:t xml:space="preserve">https://doi.org/10.5061/dryad.234</w:t>
        </w:r>
      </w:hyperlink>
      <w:r>
        <w:t xml:space="preserve">.</w:t>
      </w:r>
    </w:p>
    <w:bookmarkEnd w:id="20"/>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oi.org/10.1111/2041-210x.12753" TargetMode="External" /><Relationship Type="http://schemas.openxmlformats.org/officeDocument/2006/relationships/hyperlink" Id="rId15" Target="https://doi.org/10.1111/gcb.12629" TargetMode="External" /><Relationship Type="http://schemas.openxmlformats.org/officeDocument/2006/relationships/hyperlink" Id="rId19" Target="https://doi.org/10.5061/dryad.234" TargetMode="External" /></Relationships>
</file>

<file path=word/_rels/footnotes.xml.rels><?xml version="1.0" encoding="UTF-8"?><Relationships xmlns="http://schemas.openxmlformats.org/package/2006/relationships"><Relationship Type="http://schemas.openxmlformats.org/officeDocument/2006/relationships/hyperlink" Id="rId17" Target="https://doi.org/10.1111/2041-210x.12753" TargetMode="External" /><Relationship Type="http://schemas.openxmlformats.org/officeDocument/2006/relationships/hyperlink" Id="rId15" Target="https://doi.org/10.1111/gcb.12629" TargetMode="External" /><Relationship Type="http://schemas.openxmlformats.org/officeDocument/2006/relationships/hyperlink" Id="rId19" Target="https://doi.org/10.5061/dryad.2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Logging has long-term effects on carbon productivity but not on mortality in tropical forests</dc:title>
  <dc:creator/>
  <cp:keywords/>
  <dcterms:created xsi:type="dcterms:W3CDTF">2026-07-06T05:04:01Z</dcterms:created>
  <dcterms:modified xsi:type="dcterms:W3CDTF">2026-07-06T05:04:01Z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