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color w:val="000000"/>
        </w:rPr>
        <w:t>PocketToDynamics A Reproducible Screening and Molecular Dynamics Workflow With an Evolutionary Conservation Companion</w:t>
      </w:r>
    </w:p>
    <w:p>
      <w:pPr>
        <w:widowControl/>
        <w:jc w:val="both"/>
      </w:pPr>
      <w:r>
        <w:rPr>
          <w:rFonts w:ascii="Times New Roman" w:hAnsi="Times New Roman"/>
          <w:color w:val="000000"/>
        </w:rPr>
      </w:r>
      <w:r>
        <w:rPr>
          <w:rFonts w:ascii="Times New Roman" w:hAnsi="Times New Roman"/>
          <w:b/>
          <w:color w:val="000000"/>
        </w:rPr>
        <w:t>Article type:</w:t>
      </w:r>
      <w:r>
        <w:rPr>
          <w:rFonts w:ascii="Times New Roman" w:hAnsi="Times New Roman"/>
          <w:color w:val="000000"/>
        </w:rPr>
        <w:t xml:space="preserve"> Technology and Code</w:t>
      </w:r>
    </w:p>
    <w:p>
      <w:pPr>
        <w:widowControl/>
        <w:jc w:val="both"/>
      </w:pPr>
      <w:r>
        <w:rPr>
          <w:rFonts w:ascii="Times New Roman" w:hAnsi="Times New Roman"/>
          <w:color w:val="000000"/>
        </w:rPr>
      </w:r>
      <w:r>
        <w:rPr>
          <w:rFonts w:ascii="Times New Roman" w:hAnsi="Times New Roman"/>
          <w:b/>
          <w:color w:val="000000"/>
        </w:rPr>
        <w:t>Authors:</w:t>
      </w:r>
      <w:r>
        <w:rPr>
          <w:rFonts w:ascii="Times New Roman" w:hAnsi="Times New Roman"/>
          <w:color w:val="000000"/>
        </w:rPr>
        <w:t xml:space="preserve"> Juan Philippe Teixeira¹, Daniel Ferreira de Lima Neto¹, Miklos Maximiliano Bajay¹</w:t>
      </w:r>
    </w:p>
    <w:p>
      <w:pPr>
        <w:widowControl/>
        <w:jc w:val="both"/>
      </w:pPr>
      <w:r>
        <w:rPr>
          <w:rFonts w:ascii="Times New Roman" w:hAnsi="Times New Roman"/>
          <w:color w:val="000000"/>
        </w:rPr>
        <w:t>Affiliations:</w:t>
      </w:r>
    </w:p>
    <w:p>
      <w:pPr>
        <w:widowControl/>
        <w:jc w:val="both"/>
      </w:pPr>
      <w:r>
        <w:rPr>
          <w:rFonts w:ascii="Times New Roman" w:hAnsi="Times New Roman"/>
          <w:color w:val="000000"/>
        </w:rPr>
        <w:t>¹ State University of Santa Catarina – Center for Agricultural and Veterinary Sciences – Graduate Program in Biochemistry and Molecular Biology (PMBqBM)</w:t>
      </w:r>
    </w:p>
    <w:p>
      <w:pPr>
        <w:pStyle w:val="Heading1"/>
        <w:widowControl/>
      </w:pPr>
      <w:r>
        <w:rPr>
          <w:rFonts w:ascii="Times New Roman" w:hAnsi="Times New Roman"/>
          <w:color w:val="000000"/>
        </w:rPr>
        <w:t>Abstract</w:t>
      </w:r>
    </w:p>
    <w:p>
      <w:pPr>
        <w:widowControl/>
        <w:jc w:val="both"/>
      </w:pPr>
      <w:r>
        <w:rPr>
          <w:rFonts w:ascii="Times New Roman" w:hAnsi="Times New Roman"/>
          <w:color w:val="000000"/>
        </w:rPr>
        <w:t>PocketToDynamics is a modular computational workflow that connects pocket mapping and virtual screening to molecular dynamics (MD), structural analysis, endpoint energetic estimation, and empirical conformational landscapes. An optional sequence-to-structure analysis projects evolutionary conservation from reviewed bacterial adenylate-kinase sequences onto the Ap5A contact site.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Known-site redocking recovered the crystallographic Ap5A pose in 1AKE in all three searches (top-ranked RMSD 1.48–1.76 Å). A second pilot used ADP in two crystallographic sites of 8RJ4: six of six top-ranked poses were within 0.64 Å of their site-specific references. The 8RJ4 chain-A sequence is identical to 1AKE, so this adds two ligand sites and a second ligand chemistry, not an independent target. These observations establish software integration, data consistency and narrowly scoped pose recovery, not binding affinity, conformational convergence or biological activity. A reference-guided analysis of 405 unique adenylate-kinase sequences mapped 214 reference positions to 1AKE; the 45 residues within 5 Å of Ap5A had mean conservation 0.788, compared with 0.517 among 169 other mapped residues. This descriptive, unweighted comparison is not a phylogeny-aware test or evidence of affinity. The workflow makes computational decisions and limitations inspectable while leaving scientific validation across realistic systems and longer simulations for future work.</w:t>
      </w:r>
    </w:p>
    <w:p>
      <w:pPr>
        <w:widowControl/>
        <w:jc w:val="both"/>
      </w:pPr>
      <w:r>
        <w:rPr>
          <w:rFonts w:ascii="Times New Roman" w:hAnsi="Times New Roman"/>
          <w:color w:val="000000"/>
        </w:rPr>
      </w:r>
      <w:r>
        <w:rPr>
          <w:rFonts w:ascii="Times New Roman" w:hAnsi="Times New Roman"/>
          <w:b/>
          <w:color w:val="000000"/>
        </w:rPr>
        <w:t>Keywords:</w:t>
      </w:r>
      <w:r>
        <w:rPr>
          <w:rFonts w:ascii="Times New Roman" w:hAnsi="Times New Roman"/>
          <w:color w:val="000000"/>
        </w:rPr>
        <w:t xml:space="preserve"> evolutionary bioinformatics; sequence conservation; structure mapping; virtual screening; binding pockets; molecular dynamics; reproducibility; provenance.</w:t>
      </w:r>
    </w:p>
    <w:p>
      <w:pPr>
        <w:pStyle w:val="Heading1"/>
        <w:widowControl/>
      </w:pPr>
      <w:r>
        <w:rPr>
          <w:rFonts w:ascii="Times New Roman" w:hAnsi="Times New Roman"/>
          <w:color w:val="000000"/>
        </w:rPr>
        <w:t>Introduction</w:t>
      </w:r>
    </w:p>
    <w:p>
      <w:pPr>
        <w:widowControl/>
        <w:jc w:val="both"/>
      </w:pPr>
      <w:r>
        <w:rPr>
          <w:rFonts w:ascii="Times New Roman" w:hAnsi="Times New Roman"/>
          <w:color w:val="000000"/>
        </w:rP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jc w:val="both"/>
      </w:pPr>
      <w:r>
        <w:rPr>
          <w:rFonts w:ascii="Times New Roman" w:hAnsi="Times New Roman"/>
          <w:color w:val="000000"/>
        </w:rPr>
        <w:t>PocketToDynamics addresses these transitions through a sequence of independently inspectable Python modules coordinated by a common runner. It combines pocket-oriented docking with candidate selection, AMBER-based parameterization, GROMACS simulation [1],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jc w:val="both"/>
      </w:pPr>
      <w:r>
        <w:rPr>
          <w:rFonts w:ascii="Times New Roman" w:hAnsi="Times New Roman"/>
          <w:color w:val="000000"/>
        </w:rPr>
        <w:t>This manuscript describes the inspected implementation, its recorded fixture validation, a separate known-site Ap5A docking pilot, and an optional evolutionary conservation analysis that links a curated enzyme-sequence set to structure-defined ligand contacts.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widowControl/>
        <w:jc w:val="both"/>
      </w:pPr>
      <w:r>
        <w:rPr>
          <w:rFonts w:ascii="Times New Roman" w:hAnsi="Times New Roman"/>
          <w:color w:val="000000"/>
        </w:rPr>
        <w:t>Integrated molecular-simulation platforms already connect preparation and dynamics through reusable graphical or notebook workflows, including Galaxy-based molecular-dynamics workflows and Enlighten2 [2–3]. PocketToDynamics occupies a different implementation niche: a local, manifest-driven command-line chain that also carries pocket-screening decisions into MD entry, trajectory analysis and hash-verified packaging. It is not a new docking engine, workflow language, free-energy method or evolutionary predictor, and we do not claim superior usability or performance. Evolutionary conservation has already been used for binding-site prediction; ConCavity combines conservation estimates with structure-based cavity evidence [4]. PocketToDynamics instead maps an auditable sequence profile after site definition and does not use it to discover pockets or rank ligands. Its contribution is the inspectable connection among screening eligibility, downstream molecular simulation and data provenance, with a companion sequence-to-structure report.</w:t>
      </w:r>
    </w:p>
    <w:p>
      <w:pPr>
        <w:pStyle w:val="Heading1"/>
        <w:widowControl/>
      </w:pPr>
      <w:r>
        <w:rPr>
          <w:rFonts w:ascii="Times New Roman" w:hAnsi="Times New Roman"/>
          <w:color w:val="000000"/>
        </w:rPr>
        <w:t>Software Architecture and Workflow</w:t>
      </w:r>
    </w:p>
    <w:p>
      <w:pPr>
        <w:widowControl/>
        <w:jc w:val="both"/>
      </w:pPr>
      <w:r>
        <w:rPr>
          <w:rFonts w:ascii="Times New Roman" w:hAnsi="Times New Roman"/>
          <w:color w:val="000000"/>
        </w:rPr>
        <w:t xml:space="preserve">The repository separates configuration, inputs, scripts, tests, manifests, logs, intermediate work, and results. Heavy simulation artifacts reside outside the source repository in configured dynamics directories. A canonical registry, </w:t>
      </w:r>
      <w:r>
        <w:rPr>
          <w:rFonts w:ascii="Times New Roman" w:hAnsi="Times New Roman"/>
          <w:color w:val="000000"/>
          <w:sz w:val="24"/>
        </w:rPr>
        <w:t>scripts/p2d_steps.py</w:t>
      </w:r>
      <w:r>
        <w:rPr>
          <w:rFonts w:ascii="Times New Roman" w:hAnsi="Times New Roman"/>
          <w:color w:val="000000"/>
        </w:rP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Modules</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Implemented responsibility</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Evidence and scope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M01–M04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Project initialization, input normalization, pocket mapping, deterministic job matrix</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fixture and production-route passes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M05A–M05C</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Engine preflight, input preparation, docking execution and provenance-aware reuse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docking fixture; not a comparative engine benchmark</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M06–M09</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Score parsing, ranking, chemical descriptors, candidate gate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rejection of the ethanol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M10A–M10C</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Dynamics jobs, dependency preflight, selected-pose extraction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 expected skip; explicit fixture enters at M10C</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M11–M14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Parameterization, solvent/minimization, equilibration, segmented production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short computational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M15</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Trajectory reconstruction, periodic-boundary processing and fitting</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recorded 21-frame fixture and subsequent artifact recheck</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M16</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Structural metrics and protein–ligand contacts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fixture and numerical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M17</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Single-trajectory MM/GBSA and residue decomposition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three selected fixture frames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M18</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Cartesian C-alpha principal component analysis (PCA)</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covariance and reconstruction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M19</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PC1/PC2 occupancy landscape and representative structures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discrete histogram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M20</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Per-residue contact and hydrogen-bond occupancy</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matrix/occupancy consistency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M21</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Inventory, source/environment snapshots, figures, tables and verified archive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archive integrity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Companion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Optional sequence conservation profile mapped to structural ligand contacts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405 unique reviewed bacterial enzyme sequences; descriptive single-site analysis; not used to change docking rank</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6583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989320" cy="4658360"/>
                    </a:xfrm>
                    <a:prstGeom prst="rect"/>
                  </pic:spPr>
                </pic:pic>
              </a:graphicData>
            </a:graphic>
          </wp:inline>
        </w:drawing>
      </w:r>
    </w:p>
    <w:p>
      <w:pPr>
        <w:pStyle w:val="Caption"/>
        <w:keepLines/>
        <w:widowControl/>
        <w:spacing w:after="180"/>
        <w:jc w:val="both"/>
      </w:pPr>
      <w:r>
        <w:rPr>
          <w:rFonts w:ascii="Times New Roman" w:hAnsi="Times New Roman"/>
          <w:color w:val="000000"/>
        </w:rPr>
        <w:t>Figure 1. Logical workflow. The explicit fixture enters at M10C and does not change candidate eligibility. Each stage retains its own checks and provenance.</w:t>
      </w:r>
    </w:p>
    <w:p>
      <w:pPr>
        <w:widowControl/>
        <w:jc w:val="both"/>
      </w:pPr>
      <w:r>
        <w:rPr>
          <w:rFonts w:ascii="Times New Roman" w:hAnsi="Times New Roman"/>
          <w:color w:val="000000"/>
        </w:rPr>
        <w:t xml:space="preserve">The production and fixture routes have separate status tables and downstream output directories. </w:t>
      </w:r>
      <w:r>
        <w:rPr>
          <w:rFonts w:ascii="Times New Roman" w:hAnsi="Times New Roman"/>
          <w:color w:val="000000"/>
          <w:sz w:val="24"/>
        </w:rPr>
        <w:t>PASS</w:t>
      </w:r>
      <w:r>
        <w:rPr>
          <w:rFonts w:ascii="Times New Roman" w:hAnsi="Times New Roman"/>
          <w:color w:val="000000"/>
        </w:rPr>
        <w:t xml:space="preserve"> denotes satisfaction of module-specific software checks, whereas </w:t>
      </w:r>
      <w:r>
        <w:rPr>
          <w:rFonts w:ascii="Times New Roman" w:hAnsi="Times New Roman"/>
          <w:color w:val="000000"/>
          <w:sz w:val="24"/>
        </w:rPr>
        <w:t>SKIP</w:t>
      </w:r>
      <w:r>
        <w:rPr>
          <w:rFonts w:ascii="Times New Roman" w:hAnsi="Times New Roman"/>
          <w:color w:val="000000"/>
        </w:rPr>
        <w:t xml:space="preserve"> denotes absence of eligible upstream work. Neither status independently establishes scientific validity. The runner stops on nonzero exits or failed checks, initializes unexecuted entries as </w:t>
      </w:r>
      <w:r>
        <w:rPr>
          <w:rFonts w:ascii="Times New Roman" w:hAnsi="Times New Roman"/>
          <w:color w:val="000000"/>
          <w:sz w:val="24"/>
        </w:rPr>
        <w:t>NOT_RUN</w:t>
      </w:r>
      <w:r>
        <w:rPr>
          <w:rFonts w:ascii="Times New Roman" w:hAnsi="Times New Roman"/>
          <w:color w:val="000000"/>
        </w:rPr>
        <w:t xml:space="preserve">, and records commands, durations, exit codes, and log hashes. Missing logs are represented as </w:t>
      </w:r>
      <w:r>
        <w:rPr>
          <w:rFonts w:ascii="Times New Roman" w:hAnsi="Times New Roman"/>
          <w:color w:val="000000"/>
          <w:sz w:val="24"/>
        </w:rPr>
        <w:t>UNKNOWN</w:t>
      </w:r>
      <w:r>
        <w:rPr>
          <w:rFonts w:ascii="Times New Roman" w:hAnsi="Times New Roman"/>
          <w:color w:val="000000"/>
        </w:rPr>
        <w:t xml:space="preserve"> rather than silently omitted.</w:t>
      </w:r>
    </w:p>
    <w:p>
      <w:pPr>
        <w:widowControl/>
        <w:jc w:val="both"/>
      </w:pPr>
      <w:r>
        <w:rPr>
          <w:rFonts w:ascii="Times New Roman" w:hAnsi="Times New Roman"/>
          <w:color w:val="000000"/>
        </w:rP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rPr>
          <w:rFonts w:ascii="Times New Roman" w:hAnsi="Times New Roman"/>
          <w:color w:val="000000"/>
        </w:rPr>
        <w:t>Methods</w:t>
      </w:r>
    </w:p>
    <w:p>
      <w:pPr>
        <w:pStyle w:val="Heading2"/>
        <w:widowControl/>
      </w:pPr>
      <w:r>
        <w:rPr>
          <w:rFonts w:ascii="Times New Roman" w:hAnsi="Times New Roman"/>
          <w:color w:val="000000"/>
        </w:rPr>
        <w:t>Input preparation and pocket mapping</w:t>
      </w:r>
    </w:p>
    <w:p>
      <w:pPr>
        <w:widowControl/>
        <w:jc w:val="both"/>
      </w:pPr>
      <w:r>
        <w:rPr>
          <w:rFonts w:ascii="Times New Roman" w:hAnsi="Times New Roman"/>
          <w:color w:val="000000"/>
        </w:rPr>
        <w:t>Input normalization and hashing establish identifiable receptor and ligand representations. M03 invokes ConCavity [4]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jc w:val="both"/>
      </w:pPr>
      <w:r>
        <w:rPr>
          <w:rFonts w:ascii="Times New Roman" w:hAnsi="Times New Roman"/>
          <w:color w:val="000000"/>
        </w:rP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[5]. Meeko prepares docking inputs, with Open Babel configured as a fallback [6–7]; molecular descriptors are calculated with RDKit [8].</w:t>
      </w:r>
    </w:p>
    <w:p>
      <w:pPr>
        <w:widowControl/>
        <w:jc w:val="both"/>
      </w:pPr>
      <w:r>
        <w:rPr>
          <w:rFonts w:ascii="Times New Roman" w:hAnsi="Times New Roman"/>
          <w:color w:val="000000"/>
        </w:rP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rPr>
          <w:rFonts w:ascii="Times New Roman" w:hAnsi="Times New Roman"/>
          <w:color w:val="000000"/>
        </w:rPr>
        <w:t>Additional known site ADP redocking</w:t>
      </w:r>
    </w:p>
    <w:p>
      <w:pPr>
        <w:widowControl/>
        <w:jc w:val="both"/>
      </w:pPr>
      <w:r>
        <w:rPr>
          <w:rFonts w:ascii="Times New Roman" w:hAnsi="Times New Roman"/>
          <w:color w:val="000000"/>
        </w:rPr>
        <w:t>A second ligand model was assessed with PDB 8RJ4, an E. coli adenylate-kinase product-state complex containing two crystallographic ADP molecules and Mg²⁺ [9–10]. Chain A was used; its 214-residue sequence matches chain A of 1AKE exactly. For each ADP site (residues 301 and 302), a new starting conformation was generated independently from the Chemical Component Dictionary graph with RDKit ETKDGv3 and UFF minimization. The crystal coordinates were reserved for the evaluation reference and to define the known-site box. The ADP charge was set to −3 by deprotonating one α- and two β-phosphate hydroxyl groups. Receptor preparation used protein ATOM records only; all HETATM records, including both ADPs, Mg²⁺, chloride and waters, were omitted. Thus the test does not evaluate metal-assisted docking or the experimentally observed Mg²⁺ coordination.</w:t>
      </w:r>
    </w:p>
    <w:p>
      <w:pPr>
        <w:widowControl/>
        <w:jc w:val="both"/>
      </w:pPr>
      <w:r>
        <w:rPr>
          <w:rFonts w:ascii="Times New Roman" w:hAnsi="Times New Roman"/>
          <w:color w:val="000000"/>
        </w:rPr>
        <w:t xml:space="preserve">Each search box was centered on the crystallographic ADP heavy-atom bounds with 6 Å added per side and a minimum dimension of 20 Å. Vina 1.2.5 was run with exhaustiveness 16, nine modes, energy range 4 kcal/mol, and three deterministic seeds (20261010–20261012) per site. Pose RMSD was symmetry-aware, no-fit heavy-atom RMSD to the corresponding crystal ligand; top-ranked recovery at ≤2.0 Å was the prespecified criterion. The analysis therefore tests local known-site redocking, not blind pocket discovery. Input structures, preparation records, hashes, logs and all 54 poses are provided under </w:t>
      </w:r>
      <w:r>
        <w:rPr>
          <w:rFonts w:ascii="Times New Roman" w:hAnsi="Times New Roman"/>
          <w:color w:val="000000"/>
          <w:sz w:val="24"/>
        </w:rPr>
        <w:t>docs/validation/adk_multi/</w:t>
      </w:r>
      <w:r>
        <w:rPr>
          <w:rFonts w:ascii="Times New Roman" w:hAnsi="Times New Roman"/>
          <w:color w:val="000000"/>
        </w:rPr>
        <w:t>.</w:t>
      </w:r>
    </w:p>
    <w:p>
      <w:pPr>
        <w:pStyle w:val="Heading2"/>
        <w:widowControl/>
      </w:pPr>
      <w:r>
        <w:rPr>
          <w:rFonts w:ascii="Times New Roman" w:hAnsi="Times New Roman"/>
          <w:color w:val="000000"/>
        </w:rPr>
        <w:t>Ranking and candidate eligibility</w:t>
      </w:r>
    </w:p>
    <w:p>
      <w:pPr>
        <w:widowControl/>
        <w:jc w:val="both"/>
      </w:pPr>
      <w:r>
        <w:rPr>
          <w:rFonts w:ascii="Times New Roman" w:hAnsi="Times New Roman"/>
          <w:color w:val="000000"/>
        </w:rP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jc w:val="both"/>
      </w:pPr>
      <w:r>
        <w:rPr>
          <w:rFonts w:ascii="Times New Roman" w:hAnsi="Times New Roman"/>
          <w:color w:val="000000"/>
        </w:rP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rPr>
          <w:rFonts w:ascii="Times New Roman" w:hAnsi="Times New Roman"/>
          <w:color w:val="000000"/>
        </w:rPr>
        <w:t>Selected pose reconstruction and parameterization</w:t>
      </w:r>
    </w:p>
    <w:p>
      <w:pPr>
        <w:widowControl/>
        <w:jc w:val="both"/>
      </w:pPr>
      <w:r>
        <w:rPr>
          <w:rFonts w:ascii="Times New Roman" w:hAnsi="Times New Roman"/>
          <w:color w:val="000000"/>
        </w:rP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jc w:val="both"/>
      </w:pPr>
      <w:r>
        <w:rPr>
          <w:rFonts w:ascii="Times New Roman" w:hAnsi="Times New Roman"/>
          <w:color w:val="000000"/>
        </w:rPr>
        <w:t xml:space="preserve">M11 uses AmberTools </w:t>
      </w:r>
      <w:r>
        <w:rPr>
          <w:rFonts w:ascii="Times New Roman" w:hAnsi="Times New Roman"/>
          <w:color w:val="000000"/>
          <w:sz w:val="24"/>
        </w:rPr>
        <w:t>antechamber</w:t>
      </w:r>
      <w:r>
        <w:rPr>
          <w:rFonts w:ascii="Times New Roman" w:hAnsi="Times New Roman"/>
          <w:color w:val="000000"/>
        </w:rPr>
        <w:t xml:space="preserve">, </w:t>
      </w:r>
      <w:r>
        <w:rPr>
          <w:rFonts w:ascii="Times New Roman" w:hAnsi="Times New Roman"/>
          <w:color w:val="000000"/>
          <w:sz w:val="24"/>
        </w:rPr>
        <w:t>parmchk2</w:t>
      </w:r>
      <w:r>
        <w:rPr>
          <w:rFonts w:ascii="Times New Roman" w:hAnsi="Times New Roman"/>
          <w:color w:val="000000"/>
        </w:rPr>
        <w:t xml:space="preserve">, and </w:t>
      </w:r>
      <w:r>
        <w:rPr>
          <w:rFonts w:ascii="Times New Roman" w:hAnsi="Times New Roman"/>
          <w:color w:val="000000"/>
          <w:sz w:val="24"/>
        </w:rPr>
        <w:t>tleap</w:t>
      </w:r>
      <w:r>
        <w:rPr>
          <w:rFonts w:ascii="Times New Roman" w:hAnsi="Times New Roman"/>
          <w:color w:val="000000"/>
        </w:rPr>
        <w:t>, with ff19SB for protein, GAFF2 for ligand, and AM1-BCC charges [11–13]. ParmEd [14] converts the resulting system to GROMACS representation. The configured solvent is TIP3P [15];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rPr>
          <w:rFonts w:ascii="Times New Roman" w:hAnsi="Times New Roman"/>
          <w:color w:val="000000"/>
        </w:rPr>
        <w:t>System setup and simulation</w:t>
      </w:r>
    </w:p>
    <w:p>
      <w:pPr>
        <w:widowControl/>
        <w:jc w:val="both"/>
      </w:pPr>
      <w:r>
        <w:rPr>
          <w:rFonts w:ascii="Times New Roman" w:hAnsi="Times New Roman"/>
          <w:color w:val="000000"/>
        </w:rP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jc w:val="both"/>
      </w:pPr>
      <w:r>
        <w:rPr>
          <w:rFonts w:ascii="Times New Roman" w:hAnsi="Times New Roman"/>
          <w:color w:val="000000"/>
        </w:rP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jc w:val="both"/>
      </w:pPr>
      <w:r>
        <w:rPr>
          <w:rFonts w:ascii="Times New Roman" w:hAnsi="Times New Roman"/>
          <w:color w:val="000000"/>
        </w:rP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rPr>
          <w:rFonts w:ascii="Times New Roman" w:hAnsi="Times New Roman"/>
          <w:color w:val="000000"/>
        </w:rPr>
        <w:t>Trajectory preprocessing and structural analysis</w:t>
      </w:r>
    </w:p>
    <w:p>
      <w:pPr>
        <w:widowControl/>
        <w:jc w:val="both"/>
      </w:pPr>
      <w:r>
        <w:rPr>
          <w:rFonts w:ascii="Times New Roman" w:hAnsi="Times New Roman"/>
          <w:color w:val="000000"/>
        </w:rPr>
        <w:t>M15 generates whole, no-jump, centered, and backbone-fitted trajectory representations. It checks ordered segment intervals, hashes, atom counts, frame times, coordinates, boxes, and coverage. The ligand and protein are centered together, and the whole system is retained. MDAnalysis [16–17] reads GRO/XTC rather than the installed GROMACS TPR format, which is documented as unsupported by the installed MDAnalysis parser.</w:t>
      </w:r>
    </w:p>
    <w:p>
      <w:pPr>
        <w:widowControl/>
        <w:jc w:val="both"/>
      </w:pPr>
      <w:r>
        <w:rPr>
          <w:rFonts w:ascii="Times New Roman" w:hAnsi="Times New Roman"/>
          <w:color w:val="000000"/>
        </w:rP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Times New Roman" w:hAnsi="Times New Roman"/>
          <w:color w:val="000000"/>
          <w:sz w:val="24"/>
        </w:rPr>
        <w:t>hbond-legacy</w:t>
      </w:r>
      <w:r>
        <w:rPr>
          <w:rFonts w:ascii="Times New Roman" w:hAnsi="Times New Roman"/>
          <w:color w:val="000000"/>
        </w:rPr>
        <w:t xml:space="preserve"> using a 0.35 nm donor–acceptor distance and a 30° deviation-from-linear angular cutoff. Metric timestamps must match the trajectory frames. Structural distances use nm, times ps, and surface areas nm².</w:t>
      </w:r>
    </w:p>
    <w:p>
      <w:pPr>
        <w:pStyle w:val="Heading2"/>
        <w:widowControl/>
      </w:pPr>
      <w:r>
        <w:rPr>
          <w:rFonts w:ascii="Times New Roman" w:hAnsi="Times New Roman"/>
          <w:color w:val="000000"/>
        </w:rPr>
        <w:t>Endpoint energetic estimates</w:t>
      </w:r>
    </w:p>
    <w:p>
      <w:pPr>
        <w:widowControl/>
        <w:jc w:val="both"/>
      </w:pPr>
      <w:r>
        <w:rPr>
          <w:rFonts w:ascii="Times New Roman" w:hAnsi="Times New Roman"/>
          <w:color w:val="000000"/>
        </w:rPr>
        <w:t xml:space="preserve">M17 uses AmberTools </w:t>
      </w:r>
      <w:r>
        <w:rPr>
          <w:rFonts w:ascii="Times New Roman" w:hAnsi="Times New Roman"/>
          <w:color w:val="000000"/>
          <w:sz w:val="24"/>
        </w:rPr>
        <w:t>ante-MMPBSA.py</w:t>
      </w:r>
      <w:r>
        <w:rPr>
          <w:rFonts w:ascii="Times New Roman" w:hAnsi="Times New Roman"/>
          <w:color w:val="000000"/>
        </w:rPr>
        <w:t xml:space="preserve"> and </w:t>
      </w:r>
      <w:r>
        <w:rPr>
          <w:rFonts w:ascii="Times New Roman" w:hAnsi="Times New Roman"/>
          <w:color w:val="000000"/>
          <w:sz w:val="24"/>
        </w:rPr>
        <w:t>MMPBSA.py</w:t>
      </w:r>
      <w:r>
        <w:rPr>
          <w:rFonts w:ascii="Times New Roman" w:hAnsi="Times New Roman"/>
          <w:color w:val="000000"/>
        </w:rPr>
        <w:t xml:space="preserve"> [18] for single-trajectory MM/GBSA with </w:t>
      </w:r>
      <w:r>
        <w:rPr>
          <w:rFonts w:ascii="Times New Roman" w:hAnsi="Times New Roman"/>
          <w:color w:val="000000"/>
          <w:sz w:val="24"/>
        </w:rPr>
        <w:t>igb=5</w:t>
      </w:r>
      <w:r>
        <w:rPr>
          <w:rFonts w:ascii="Times New Roman" w:hAnsi="Times New Roman"/>
          <w:color w:val="000000"/>
        </w:rPr>
        <w:t xml:space="preserve">, </w:t>
      </w:r>
      <w:r>
        <w:rPr>
          <w:rFonts w:ascii="Times New Roman" w:hAnsi="Times New Roman"/>
          <w:color w:val="000000"/>
          <w:sz w:val="24"/>
        </w:rPr>
        <w:t>mbondi2</w:t>
      </w:r>
      <w:r>
        <w:rPr>
          <w:rFonts w:ascii="Times New Roman" w:hAnsi="Times New Roman"/>
          <w:color w:val="000000"/>
        </w:rP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jc w:val="both"/>
      </w:pPr>
      <w:r>
        <w:rPr>
          <w:rFonts w:ascii="Times New Roman" w:hAnsi="Times New Roman"/>
          <w:color w:val="000000"/>
        </w:rP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rPr>
          <w:rFonts w:ascii="Times New Roman" w:hAnsi="Times New Roman"/>
          <w:color w:val="000000"/>
        </w:rPr>
        <w:t>Essential dynamics and empirical landscape</w:t>
      </w:r>
    </w:p>
    <w:p>
      <w:pPr>
        <w:widowControl/>
        <w:jc w:val="both"/>
      </w:pPr>
      <w:r>
        <w:rPr>
          <w:rFonts w:ascii="Times New Roman" w:hAnsi="Times New Roman"/>
          <w:color w:val="000000"/>
        </w:rP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jc w:val="both"/>
      </w:pPr>
      <w:r>
        <w:rPr>
          <w:rFonts w:ascii="Times New Roman" w:hAnsi="Times New Roman"/>
          <w:color w:val="000000"/>
        </w:rPr>
        <w:t>M19 bins the first two principal-component projections into an equal-width two-dimensional histogram: five bins per axis for the fixture and 30 for the ordinary configuration. For occupied bins, the reported relative landscape is</w:t>
      </w:r>
    </w:p>
    <w:p>
      <w:pPr>
        <w:widowControl/>
        <w:jc w:val="both"/>
      </w:pPr>
      <m:oMath>
        <m:r>
          <m:t>Fᵢ = −RT ln(Pᵢ/Pₘₐₓ)</m:t>
        </m:r>
      </m:oMath>
    </w:p>
    <w:p>
      <w:pPr>
        <w:widowControl/>
        <w:jc w:val="both"/>
      </w:pPr>
      <w:r>
        <w:rPr>
          <w:rFonts w:ascii="Times New Roman" w:hAnsi="Times New Roman"/>
          <w:color w:val="000000"/>
        </w:rP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rPr>
          <w:rFonts w:ascii="Times New Roman" w:hAnsi="Times New Roman"/>
          <w:color w:val="000000"/>
        </w:rPr>
        <w:t>Interaction persistence and packaging</w:t>
      </w:r>
    </w:p>
    <w:p>
      <w:pPr>
        <w:widowControl/>
        <w:jc w:val="both"/>
      </w:pPr>
      <w:r>
        <w:rPr>
          <w:rFonts w:ascii="Times New Roman" w:hAnsi="Times New Roman"/>
          <w:color w:val="000000"/>
        </w:rP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jc w:val="both"/>
      </w:pPr>
      <w:r>
        <w:rPr>
          <w:rFonts w:ascii="Times New Roman" w:hAnsi="Times New Roman"/>
          <w:color w:val="000000"/>
        </w:rP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rPr>
          <w:rFonts w:ascii="Times New Roman" w:hAnsi="Times New Roman"/>
          <w:color w:val="000000"/>
        </w:rPr>
        <w:t>Evolutionary sequence data and site mapping</w:t>
      </w:r>
    </w:p>
    <w:p>
      <w:pPr>
        <w:widowControl/>
        <w:jc w:val="both"/>
      </w:pPr>
      <w:r>
        <w:rPr>
          <w:rFonts w:ascii="Times New Roman" w:hAnsi="Times New Roman"/>
          <w:color w:val="000000"/>
        </w:rPr>
        <w:t>A companion analysis was added to connect sequence evolution with a structure-defined binding site. UniProtKB [19] was queried on 9 October 2026 for reviewed bacterial entries annotated EC 2.7.4.3 and lengths of 190–230 residues. The query returned 588 records. One record per species was selected by minimum absolute length difference from the 214-residue E. coli K-12 reference P69441, with accession as a deterministic tie-break; identical sequences were then removed, leaving 405 sequences. This enzyme annotation and length filter define a practical family set; orthology was not independently established.</w:t>
      </w:r>
    </w:p>
    <w:p>
      <w:pPr>
        <w:widowControl/>
        <w:jc w:val="both"/>
      </w:pPr>
      <w:r>
        <w:rPr>
          <w:rFonts w:ascii="Times New Roman" w:hAnsi="Times New Roman"/>
          <w:color w:val="000000"/>
        </w:rPr>
        <w:t>Each sequence was aligned globally to P69441 using Biopython PairwiseAligner [20–21] with BLOSUM62 [20], gap-open −10, and gap-extension −0.5. Sequences were retained at reference coverage ≥75% and identity ≥25% across paired non-gap positions. Insertions were represented in a reference-anchored alignment. The resulting matrix contained 405 sequences and 610 columns; all 214 reference positions were mapped. This simple reproducible alignment is not a replacement for a curated profile or phylogeny-aware multiple-sequence alignment.</w:t>
      </w:r>
    </w:p>
    <w:p>
      <w:pPr>
        <w:widowControl/>
        <w:jc w:val="both"/>
      </w:pPr>
      <w:r>
        <w:rPr>
          <w:rFonts w:ascii="Times New Roman" w:hAnsi="Times New Roman"/>
          <w:color w:val="000000"/>
        </w:rPr>
        <w:t>For each alignment column, Shannon entropy was calculated from the 20 standard amino acids after excluding gaps, and divided by log₂(20). Conservation was defined as one minus normalized entropy; gap coverage was reported separately. Reference positions were mapped to chain A of 1AKE using a global pairwise sequence alignment. Ap5A-contact residues were defined as having any receptor heavy atom within 5 Å of a ligand heavy atom in the crystallographic reference structure. The contact and noncontact means are descriptive; no phylogenetic weighting, tree model, correction for dependence among positions, hypothesis test, or affinity inference was applied. This optional script does not alter pocket detection or docking ranks.</w:t>
      </w:r>
    </w:p>
    <w:p>
      <w:pPr>
        <w:pStyle w:val="Heading2"/>
        <w:widowControl/>
      </w:pPr>
      <w:r>
        <w:rPr>
          <w:rFonts w:ascii="Times New Roman" w:hAnsi="Times New Roman"/>
          <w:color w:val="000000"/>
        </w:rPr>
        <w:t>Known site Ap5A docking pilot</w:t>
      </w:r>
    </w:p>
    <w:p>
      <w:pPr>
        <w:widowControl/>
        <w:jc w:val="both"/>
      </w:pPr>
      <w:r>
        <w:rPr>
          <w:rFonts w:ascii="Times New Roman" w:hAnsi="Times New Roman"/>
          <w:color w:val="000000"/>
        </w:rPr>
        <w:t>A separate pilot used the co-crystallized Ap5A inhibitor (CCD AP5) in 1AKE [22] as a pose reference and the unligated 4AKE structure [23]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jc w:val="both"/>
      </w:pPr>
      <w:r>
        <w:rPr>
          <w:rFonts w:ascii="Times New Roman" w:hAnsi="Times New Roman"/>
          <w:color w:val="000000"/>
        </w:rP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jc w:val="both"/>
      </w:pPr>
      <w:r>
        <w:rPr>
          <w:rFonts w:ascii="Times New Roman" w:hAnsi="Times New Roman"/>
          <w:color w:val="000000"/>
        </w:rP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rPr>
          <w:rFonts w:ascii="Times New Roman" w:hAnsi="Times New Roman"/>
          <w:color w:val="000000"/>
        </w:rPr>
        <w:t>Validation and Testing</w:t>
      </w:r>
    </w:p>
    <w:p>
      <w:pPr>
        <w:widowControl/>
        <w:jc w:val="both"/>
      </w:pPr>
      <w:r>
        <w:rPr>
          <w:rFonts w:ascii="Times New Roman" w:hAnsi="Times New Roman"/>
          <w:color w:val="000000"/>
        </w:rP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Times New Roman" w:hAnsi="Times New Roman"/>
          <w:color w:val="000000"/>
          <w:sz w:val="24"/>
        </w:rPr>
        <w:t>docs/AUDIT_2026-10-08.md</w:t>
      </w:r>
      <w:r>
        <w:rPr>
          <w:rFonts w:ascii="Times New Roman" w:hAnsi="Times New Roman"/>
          <w:color w:val="000000"/>
        </w:rPr>
        <w:t>, the two status tables, and the production/fixture audit manifests.</w:t>
      </w:r>
    </w:p>
    <w:p>
      <w:pPr>
        <w:widowControl/>
        <w:jc w:val="both"/>
      </w:pPr>
      <w:r>
        <w:rPr>
          <w:rFonts w:ascii="Times New Roman" w:hAnsi="Times New Roman"/>
          <w:color w:val="000000"/>
        </w:rP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jc w:val="both"/>
      </w:pPr>
      <w:r>
        <w:rPr>
          <w:rFonts w:ascii="Times New Roman" w:hAnsi="Times New Roman"/>
          <w:color w:val="000000"/>
        </w:rP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jc w:val="both"/>
      </w:pPr>
      <w:r>
        <w:rPr>
          <w:rFonts w:ascii="Times New Roman" w:hAnsi="Times New Roman"/>
          <w:color w:val="000000"/>
        </w:rP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rPr>
          <w:rFonts w:ascii="Times New Roman" w:hAnsi="Times New Roman"/>
          <w:color w:val="000000"/>
        </w:rPr>
        <w:t>Results of Fixture Validation and the Ap5A and ADP Pilots</w:t>
      </w:r>
    </w:p>
    <w:p>
      <w:pPr>
        <w:pStyle w:val="Heading2"/>
        <w:widowControl/>
      </w:pPr>
      <w:r>
        <w:rPr>
          <w:rFonts w:ascii="Times New Roman" w:hAnsi="Times New Roman"/>
          <w:color w:val="000000"/>
        </w:rPr>
        <w:t>End to end fixture execution</w:t>
      </w:r>
    </w:p>
    <w:p>
      <w:pPr>
        <w:widowControl/>
        <w:jc w:val="both"/>
      </w:pPr>
      <w:r>
        <w:rPr>
          <w:rFonts w:ascii="Times New Roman" w:hAnsi="Times New Roman"/>
          <w:color w:val="000000"/>
        </w:rP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Check</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Recorded observation</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Interpretation</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Production-route status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12 PASS, 13 SKIP</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Correct downstream abstention after candidate rejection</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Explicit fixture status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24 PASS, 1 SKIP</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 remained an expected skip; controlled M10C entry exercised downstream software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Ligand reconstruction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C2H6O; nine atoms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Chemical representation preserved for this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Solvated system</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64,587 atoms; reported residual charge below 10−6 elementary-charge units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Setup and charge consistency for one system</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Minimization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convergence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Numerical minimization criterion satisfied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Equilibration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 ps NVT and 20 ps NPT</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Short execution and configured QC completed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Production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 ps in two segments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Segmentation, completion detection and checkpoint recovery exercised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Preprocessed trajectory</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frames; 0–20 ps; 1 ps spacing</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Expected frame/coverage integrity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Structural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Initial RMSD zero; positive SASA/Rg; 428 C-alpha RMSF entries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Numerical and selection consistency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MM/GBSA</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Three frames at 0, 10 and 20 ps; residue decomposition generated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Endpoint-estimation pipeline executed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PCA</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observations; rank 20</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Sample-limited covariance decomposition and reconstruction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Landscape</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Three histogram basins; all 21 frames assigned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Complete discrete occupancy accounting</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Interaction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 428 residue-contact matrix</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Frame/residue alignment and bounded occupancies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Reproducibility archive</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Inventory and archived contents hash-verified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Integrity of the recorded package</w:t>
            </w:r>
          </w:p>
        </w:tc>
      </w:tr>
    </w:tbl>
    <w:p>
      <w:pPr>
        <w:widowControl/>
        <w:spacing w:after="0"/>
        <w:jc w:val="both"/>
      </w:pPr>
    </w:p>
    <w:p>
      <w:pPr>
        <w:widowControl/>
        <w:jc w:val="both"/>
      </w:pPr>
      <w:r>
        <w:rPr>
          <w:rFonts w:ascii="Times New Roman" w:hAnsi="Times New Roman"/>
          <w:color w:val="000000"/>
        </w:rP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rPr>
          <w:rFonts w:ascii="Times New Roman" w:hAnsi="Times New Roman"/>
          <w:color w:val="000000"/>
        </w:rPr>
        <w:t>Descriptive fixture figures</w:t>
      </w:r>
    </w:p>
    <w:p>
      <w:pPr>
        <w:widowControl/>
        <w:jc w:val="both"/>
      </w:pPr>
      <w:r>
        <w:rPr>
          <w:rFonts w:ascii="Times New Roman" w:hAnsi="Times New Roman"/>
          <w:color w:val="000000"/>
        </w:rP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79145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11"/>
                    <a:stretch>
                      <a:fillRect/>
                    </a:stretch>
                  </pic:blipFill>
                  <pic:spPr>
                    <a:xfrm>
                      <a:off x="0" y="0"/>
                      <a:ext cx="5989320" cy="4791456"/>
                    </a:xfrm>
                    <a:prstGeom prst="rect"/>
                  </pic:spPr>
                </pic:pic>
              </a:graphicData>
            </a:graphic>
          </wp:inline>
        </w:drawing>
      </w:r>
    </w:p>
    <w:p>
      <w:pPr>
        <w:pStyle w:val="Caption"/>
        <w:keepLines/>
        <w:widowControl/>
        <w:spacing w:after="180"/>
        <w:jc w:val="both"/>
      </w:pPr>
      <w:r>
        <w:rPr>
          <w:rFonts w:ascii="Times New Roman" w:hAnsi="Times New Roman"/>
          <w:color w:val="000000"/>
        </w:rP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pStyle w:val="Heading2"/>
        <w:widowControl/>
      </w:pPr>
      <w:r>
        <w:rPr>
          <w:rFonts w:ascii="Times New Roman" w:hAnsi="Times New Roman"/>
          <w:color w:val="000000"/>
        </w:rPr>
        <w:t>Ap5A pose recovery pilot</w:t>
      </w:r>
    </w:p>
    <w:p>
      <w:pPr>
        <w:widowControl/>
        <w:jc w:val="both"/>
      </w:pPr>
      <w:r>
        <w:rPr>
          <w:rFonts w:ascii="Times New Roman" w:hAnsi="Times New Roman"/>
          <w:color w:val="000000"/>
        </w:rP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Receptor</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Seed</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score (kcal/mol)</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Best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Best-pose rank</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-13.441</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1.764</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1.457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-13.615</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1.482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1.482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-13.789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1.762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1.720</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-7.658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9.626</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6.324</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9</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-7.252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8.950</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5.505</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-8.517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5.947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5.947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w:t>
            </w:r>
          </w:p>
        </w:tc>
      </w:tr>
    </w:tbl>
    <w:p>
      <w:pPr>
        <w:widowControl/>
        <w:spacing w:after="0"/>
        <w:jc w:val="both"/>
      </w:pPr>
    </w:p>
    <w:p>
      <w:pPr>
        <w:widowControl/>
        <w:jc w:val="both"/>
      </w:pPr>
      <w:r>
        <w:rPr>
          <w:rFonts w:ascii="Times New Roman" w:hAnsi="Times New Roman"/>
          <w:color w:val="000000"/>
        </w:rPr>
        <w:t>In the aligned 4AKE comparison [23],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5637007"/>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12"/>
                    <a:stretch>
                      <a:fillRect/>
                    </a:stretch>
                  </pic:blipFill>
                  <pic:spPr>
                    <a:xfrm>
                      <a:off x="0" y="0"/>
                      <a:ext cx="5989320" cy="5637007"/>
                    </a:xfrm>
                    <a:prstGeom prst="rect"/>
                  </pic:spPr>
                </pic:pic>
              </a:graphicData>
            </a:graphic>
          </wp:inline>
        </w:drawing>
      </w:r>
    </w:p>
    <w:p>
      <w:pPr>
        <w:pStyle w:val="Caption"/>
        <w:keepLines/>
        <w:widowControl/>
        <w:spacing w:after="180"/>
        <w:jc w:val="both"/>
      </w:pPr>
      <w:r>
        <w:rPr>
          <w:rFonts w:ascii="Times New Roman" w:hAnsi="Times New Roman"/>
          <w:color w:val="000000"/>
        </w:rP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79145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13"/>
                    <a:stretch>
                      <a:fillRect/>
                    </a:stretch>
                  </pic:blipFill>
                  <pic:spPr>
                    <a:xfrm>
                      <a:off x="0" y="0"/>
                      <a:ext cx="5989320" cy="4791456"/>
                    </a:xfrm>
                    <a:prstGeom prst="rect"/>
                  </pic:spPr>
                </pic:pic>
              </a:graphicData>
            </a:graphic>
          </wp:inline>
        </w:drawing>
      </w:r>
    </w:p>
    <w:p>
      <w:pPr>
        <w:pStyle w:val="Caption"/>
        <w:keepLines/>
        <w:widowControl/>
        <w:spacing w:after="180"/>
        <w:jc w:val="both"/>
      </w:pPr>
      <w:r>
        <w:rPr>
          <w:rFonts w:ascii="Times New Roman" w:hAnsi="Times New Roman"/>
          <w:color w:val="000000"/>
        </w:rP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p>
      <w:pPr>
        <w:pStyle w:val="Heading2"/>
        <w:widowControl/>
      </w:pPr>
      <w:r>
        <w:rPr>
          <w:rFonts w:ascii="Times New Roman" w:hAnsi="Times New Roman"/>
          <w:color w:val="000000"/>
        </w:rPr>
        <w:t>ADP redocking in two product state sites</w:t>
      </w:r>
    </w:p>
    <w:p>
      <w:pPr>
        <w:widowControl/>
        <w:jc w:val="both"/>
      </w:pPr>
      <w:r>
        <w:rPr>
          <w:rFonts w:ascii="Times New Roman" w:hAnsi="Times New Roman"/>
          <w:color w:val="000000"/>
        </w:rPr>
        <w:t>All six ADP searches produced nine poses. The top-ranked poses recovered the matching crystallographic site in every run, with symmetry-aware RMSDs from 0.622 to 0.637 Å (mean 0.628 Å; sample SD 0.006 Å). Site 301 RMSDs were 0.622–0.624 Å and site 302 RMSDs were 0.628–0.637 Å. The top-ranked pose was also the lowest-RMSD returned pose in all six runs. This close recovery is consistent with a favorable local redocking setup; it does not measure prospective success because both box centers were derived from the crystallographic ligands. Vina scores are reported per site as run descriptors and are not compared between ligand chemistries or interpreted as affinity.</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ADP site in 8RJ4</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Seed</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score (kcal/mol)</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Top-pose RMSD (Å)</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pose ≤2 Å</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20261010</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−10.525</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−10.529</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20261010</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−11.164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0.628</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−11.139</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0.634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−11.166</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0.637</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515514"/>
            <wp:docPr id="5" name="Picture 5" descr="ADP redocking RMSD and Vina score across the six searches"/>
            <wp:cNvGraphicFramePr>
              <a:graphicFrameLocks noChangeAspect="1"/>
            </wp:cNvGraphicFramePr>
            <a:graphic>
              <a:graphicData uri="http://schemas.openxmlformats.org/drawingml/2006/picture">
                <pic:pic>
                  <pic:nvPicPr>
                    <pic:cNvPr id="0" name="adp_redocking.png"/>
                    <pic:cNvPicPr/>
                  </pic:nvPicPr>
                  <pic:blipFill>
                    <a:blip r:embed="rId14"/>
                    <a:stretch>
                      <a:fillRect/>
                    </a:stretch>
                  </pic:blipFill>
                  <pic:spPr>
                    <a:xfrm>
                      <a:off x="0" y="0"/>
                      <a:ext cx="5989320" cy="2515514"/>
                    </a:xfrm>
                    <a:prstGeom prst="rect"/>
                  </pic:spPr>
                </pic:pic>
              </a:graphicData>
            </a:graphic>
          </wp:inline>
        </w:drawing>
      </w:r>
    </w:p>
    <w:p>
      <w:pPr>
        <w:pStyle w:val="Caption"/>
        <w:keepLines/>
        <w:widowControl/>
        <w:spacing w:after="180"/>
        <w:jc w:val="both"/>
      </w:pPr>
      <w:r>
        <w:rPr>
          <w:rFonts w:ascii="Times New Roman" w:hAnsi="Times New Roman"/>
          <w:color w:val="000000"/>
        </w:rPr>
        <w:t>Figure 5. Site-specific known-pose recovery for ADP in 8RJ4 chain A. Left, top-ranked Vina score by seed; right, symmetry-aware no-fit RMSD to the corresponding crystallographic ADP. Every top pose is below the prespecified 2 Å criterion. The three seeds per site measure search-seed sensitivity and are not biological or target-level replicates.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931116"/>
            <wp:docPr id="6" name="Picture 6" descr="Coordinate projections of crystallographic and docked ADP poses"/>
            <wp:cNvGraphicFramePr>
              <a:graphicFrameLocks noChangeAspect="1"/>
            </wp:cNvGraphicFramePr>
            <a:graphic>
              <a:graphicData uri="http://schemas.openxmlformats.org/drawingml/2006/picture">
                <pic:pic>
                  <pic:nvPicPr>
                    <pic:cNvPr id="0" name="adp_pose_overlay.png"/>
                    <pic:cNvPicPr/>
                  </pic:nvPicPr>
                  <pic:blipFill>
                    <a:blip r:embed="rId15"/>
                    <a:stretch>
                      <a:fillRect/>
                    </a:stretch>
                  </pic:blipFill>
                  <pic:spPr>
                    <a:xfrm>
                      <a:off x="0" y="0"/>
                      <a:ext cx="5989320" cy="2931116"/>
                    </a:xfrm>
                    <a:prstGeom prst="rect"/>
                  </pic:spPr>
                </pic:pic>
              </a:graphicData>
            </a:graphic>
          </wp:inline>
        </w:drawing>
      </w:r>
    </w:p>
    <w:p>
      <w:pPr>
        <w:pStyle w:val="Caption"/>
        <w:keepLines/>
        <w:widowControl/>
        <w:spacing w:after="180"/>
        <w:jc w:val="both"/>
      </w:pPr>
      <w:r>
        <w:rPr>
          <w:rFonts w:ascii="Times New Roman" w:hAnsi="Times New Roman"/>
          <w:color w:val="000000"/>
        </w:rPr>
        <w:t>Figure 6. No-fit coordinate projections of the crystallographic ADP and top-ranked pose from the first seed (20261010) for each site. Both poses are projected using principal axes derived only from the crystallographic reference coordinates; the same origin and axes are applied to both structures. Solid blue denotes the crystal ligand and dashed orange denotes the docked pose. Atom symbols use red for oxygen and blue-violet for nitrogen; carbon color follows the pose. This is a visualization of the same six-run validation summarized in Figure 5, not an additional replicate.</w:t>
      </w:r>
    </w:p>
    <w:p>
      <w:pPr>
        <w:widowControl/>
        <w:jc w:val="both"/>
      </w:pPr>
      <w:r>
        <w:rPr>
          <w:rFonts w:ascii="Times New Roman" w:hAnsi="Times New Roman"/>
          <w:color w:val="000000"/>
        </w:rPr>
        <w:t>A residue-level structural comparison provides context for these docking checks (Figure 7). After a single global Cα alignment over 214 matched positions, the 8RJ4 chain-A model differed from 1AKE by 0.576 Å RMSD (median per-residue displacement 0.382 Å; 95th percentile 0.948 Å), whereas the open apo 4AKE structure differed by 7.131 Å RMSD (median 4.502 Å; 95th percentile 14.563 Å). These values distinguish a near-closed product complex from the substantially more open 4AKE state; they do not quantify energetic favorability. Using a 5 Å protein-heavy-atom contact definition, Ap5A in 1AKE contacted 45 residues, ADP 301 contacted 26, and ADP 302 contacted 28. The contact-set Jaccard overlap was 0.543 for Ap5A versus ADP 301, 0.553 for Ap5A versus ADP 302, and 0.149 between the two ADP sites. These are descriptive residue-set comparisons; ligand sizes differ and no inferential test was performed.</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3773272"/>
            <wp:docPr id="7" name="Picture 7" descr="Residue contact footprints and structural displacement across adenylate kinase models"/>
            <wp:cNvGraphicFramePr>
              <a:graphicFrameLocks noChangeAspect="1"/>
            </wp:cNvGraphicFramePr>
            <a:graphic>
              <a:graphicData uri="http://schemas.openxmlformats.org/drawingml/2006/picture">
                <pic:pic>
                  <pic:nvPicPr>
                    <pic:cNvPr id="0" name="structure_context.png"/>
                    <pic:cNvPicPr/>
                  </pic:nvPicPr>
                  <pic:blipFill>
                    <a:blip r:embed="rId16"/>
                    <a:stretch>
                      <a:fillRect/>
                    </a:stretch>
                  </pic:blipFill>
                  <pic:spPr>
                    <a:xfrm>
                      <a:off x="0" y="0"/>
                      <a:ext cx="5989320" cy="3773272"/>
                    </a:xfrm>
                    <a:prstGeom prst="rect"/>
                  </pic:spPr>
                </pic:pic>
              </a:graphicData>
            </a:graphic>
          </wp:inline>
        </w:drawing>
      </w:r>
    </w:p>
    <w:p>
      <w:pPr>
        <w:pStyle w:val="Caption"/>
        <w:keepLines/>
        <w:widowControl/>
        <w:spacing w:after="180"/>
        <w:jc w:val="both"/>
      </w:pPr>
      <w:r>
        <w:rPr>
          <w:rFonts w:ascii="Times New Roman" w:hAnsi="Times New Roman"/>
          <w:color w:val="000000"/>
        </w:rPr>
        <w:t>Figure 7. Upper panel: per-residue Cα displacement from 1AKE after a single global chain-A fit, comparing the open apo structure 4AKE and ADP-bound 8RJ4. Circles identify residues with a protein heavy atom within 5 Å of the indicated crystallographic ligand. Lower panel: contact membership for Ap5A and the two ADP sites. Contact cutoffs are applied to crystallographic coordinates before the global structural alignment. The figure describes related structures of one enzyme, not independent validation targets.</w:t>
      </w:r>
    </w:p>
    <w:p>
      <w:pPr>
        <w:pStyle w:val="Heading2"/>
        <w:widowControl/>
      </w:pPr>
      <w:r>
        <w:rPr>
          <w:rFonts w:ascii="Times New Roman" w:hAnsi="Times New Roman"/>
          <w:color w:val="000000"/>
        </w:rPr>
        <w:t>Evolutionary conservation at the Ap5A site</w:t>
      </w:r>
    </w:p>
    <w:p>
      <w:pPr>
        <w:widowControl/>
        <w:jc w:val="both"/>
      </w:pPr>
      <w:r>
        <w:rPr>
          <w:rFonts w:ascii="Times New Roman" w:hAnsi="Times New Roman"/>
          <w:color w:val="000000"/>
        </w:rPr>
        <w:t>The UniProt query returned 588 reviewed bacterial entries; species-level selection and exact-sequence deduplication yielded 405 sequences. Reference-guided alignment retained all 405 sequences, produced 610 columns, and mapped all 214 E. coli reference positions to chain A of 1AKE. At a 5 Å heavy-atom cutoff, 45 residues contacted the co-crystallized Ap5A. Their mean conservation score was 0.788, compared with 0.517 for the remaining 169 mapped residues (Figure 8). This descriptive difference is compatible with the expectation that ligand-contacting regions can be conserved, but the unweighted sequence sample and single enzyme/site do not support a statistical or general biological conclusion.</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Evolutionary mapping result</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Value</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Scope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UniProt reviewed EC 2.7.4.3 records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588</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Query snapshot dated 2026-10-09</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Unique sequences after representative selection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405</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One entry per species; exact duplicates removed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Alignment and structure mapping</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610 columns; 214 of 214 reference positions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Reference-guided; no phylogenetic tree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Ap5A contact shell</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45 residues within 5 Å</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Crystallographic ligand and receptor heavy atoms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Mean conservation, contact residues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0.788</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Shannon entropy; unweighted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Mean conservation, other mapped residues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0.517</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169 mapped residues; descriptive comparison</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3893058"/>
            <wp:docPr id="8" name="Picture 8" descr="Evolutionary conservation mapped onto the Ap5A binding site"/>
            <wp:cNvGraphicFramePr>
              <a:graphicFrameLocks noChangeAspect="1"/>
            </wp:cNvGraphicFramePr>
            <a:graphic>
              <a:graphicData uri="http://schemas.openxmlformats.org/drawingml/2006/picture">
                <pic:pic>
                  <pic:nvPicPr>
                    <pic:cNvPr id="0" name="evolutionary_conservation.png"/>
                    <pic:cNvPicPr/>
                  </pic:nvPicPr>
                  <pic:blipFill>
                    <a:blip r:embed="rId17"/>
                    <a:stretch>
                      <a:fillRect/>
                    </a:stretch>
                  </pic:blipFill>
                  <pic:spPr>
                    <a:xfrm>
                      <a:off x="0" y="0"/>
                      <a:ext cx="5989320" cy="3893058"/>
                    </a:xfrm>
                    <a:prstGeom prst="rect"/>
                  </pic:spPr>
                </pic:pic>
              </a:graphicData>
            </a:graphic>
          </wp:inline>
        </w:drawing>
      </w:r>
    </w:p>
    <w:p>
      <w:pPr>
        <w:pStyle w:val="Caption"/>
        <w:keepLines/>
        <w:widowControl/>
        <w:spacing w:after="180"/>
        <w:jc w:val="both"/>
      </w:pPr>
      <w:r>
        <w:rPr>
          <w:rFonts w:ascii="Times New Roman" w:hAnsi="Times New Roman"/>
          <w:color w:val="000000"/>
        </w:rPr>
        <w:t>Figure 8. Reference-position conservation for 405 unique reviewed bacterial adenylate-kinase sequences projected onto the 1AKE chain-A structure. Orange points mark the 45 residues with a heavy atom within 5 Å of co-crystallized Ap5A; blue points mark other mapped residues. The lower panel compares residue-level distributions descriptively. Sequence observations are not phylogenetically weighted, and residue positions are not independent observations.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396782"/>
            <wp:docPr id="9" name="Picture 9" descr="Three-dimensional conservation profile on the 1AKE adenylate-kinase structure"/>
            <wp:cNvGraphicFramePr>
              <a:graphicFrameLocks noChangeAspect="1"/>
            </wp:cNvGraphicFramePr>
            <a:graphic>
              <a:graphicData uri="http://schemas.openxmlformats.org/drawingml/2006/picture">
                <pic:pic>
                  <pic:nvPicPr>
                    <pic:cNvPr id="0" name="conservation_structure.png"/>
                    <pic:cNvPicPr/>
                  </pic:nvPicPr>
                  <pic:blipFill>
                    <a:blip r:embed="rId18"/>
                    <a:stretch>
                      <a:fillRect/>
                    </a:stretch>
                  </pic:blipFill>
                  <pic:spPr>
                    <a:xfrm>
                      <a:off x="0" y="0"/>
                      <a:ext cx="5989320" cy="2396782"/>
                    </a:xfrm>
                    <a:prstGeom prst="rect"/>
                  </pic:spPr>
                </pic:pic>
              </a:graphicData>
            </a:graphic>
          </wp:inline>
        </w:drawing>
      </w:r>
    </w:p>
    <w:p>
      <w:pPr>
        <w:pStyle w:val="Caption"/>
        <w:keepLines/>
        <w:widowControl/>
        <w:spacing w:after="180"/>
        <w:jc w:val="both"/>
      </w:pPr>
      <w:r>
        <w:rPr>
          <w:rFonts w:ascii="Times New Roman" w:hAnsi="Times New Roman"/>
          <w:color w:val="000000"/>
        </w:rPr>
        <w:t>Figure 9. Sequence conservation mapped to the 1AKE chain-A structure. A, full protein cartoon colored by reference-position conservation, with crystallographic Ap5A shown as sticks. B, close-up view of the ligand-binding region and nearby side chains. The scale ranges from low conservation (blue) to high conservation (red); conservation is defined as one minus normalized Shannon entropy in the 405-sequence reference-guided alignment. This is a static mapping of one sequence set, not a conservation-guided docking result.</w:t>
      </w:r>
    </w:p>
    <w:p>
      <w:pPr>
        <w:pStyle w:val="Heading1"/>
        <w:widowControl/>
      </w:pPr>
      <w:r>
        <w:rPr>
          <w:rFonts w:ascii="Times New Roman" w:hAnsi="Times New Roman"/>
          <w:color w:val="000000"/>
        </w:rPr>
        <w:t>Reproducibility</w:t>
      </w:r>
    </w:p>
    <w:p>
      <w:pPr>
        <w:widowControl/>
        <w:jc w:val="both"/>
      </w:pPr>
      <w:r>
        <w:rPr>
          <w:rFonts w:ascii="Times New Roman" w:hAnsi="Times New Roman"/>
          <w:color w:val="000000"/>
        </w:rPr>
        <w:t xml:space="preserve">The software baseline inspected for the original workflow audit was commit </w:t>
      </w:r>
      <w:r>
        <w:rPr>
          <w:rFonts w:ascii="Times New Roman" w:hAnsi="Times New Roman"/>
          <w:color w:val="000000"/>
          <w:sz w:val="24"/>
        </w:rPr>
        <w:t>3de57df8a2980207111a8cb71d145eea0aecb382</w:t>
      </w:r>
      <w:r>
        <w:rPr>
          <w:rFonts w:ascii="Times New Roman" w:hAnsi="Times New Roman"/>
          <w:color w:val="000000"/>
        </w:rPr>
        <w:t>. Subsequent commits record publication preparation and the separate Ap5A pilot.</w:t>
      </w:r>
    </w:p>
    <w:p>
      <w:pPr>
        <w:widowControl/>
        <w:jc w:val="both"/>
      </w:pPr>
      <w:r>
        <w:rPr>
          <w:rFonts w:ascii="Times New Roman" w:hAnsi="Times New Roman"/>
          <w:color w:val="000000"/>
        </w:rP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jc w:val="both"/>
      </w:pPr>
      <w:r>
        <w:rPr>
          <w:rFonts w:ascii="Times New Roman" w:hAnsi="Times New Roman"/>
          <w:color w:val="000000"/>
        </w:rPr>
        <w:t>After installing dependencies and configuring executable/output paths, the documented runner commands are:</w:t>
      </w:r>
    </w:p>
    <w:p>
      <w:pPr>
        <w:keepLines/>
        <w:widowControl/>
        <w:jc w:val="left"/>
      </w:pPr>
      <w:r>
        <w:rPr>
          <w:rFonts w:ascii="Times New Roman" w:hAnsi="Times New Roman"/>
          <w:color w:val="000000"/>
          <w:sz w:val="24"/>
        </w:rPr>
        <w:t>bash scripts/run_pipeline.sh --profile production</w:t>
        <w:br/>
      </w:r>
      <w:r>
        <w:rPr>
          <w:rFonts w:ascii="Times New Roman" w:hAnsi="Times New Roman"/>
          <w:color w:val="000000"/>
          <w:sz w:val="24"/>
        </w:rPr>
        <w:t>bash scripts/run_pipeline.sh --profile fixture</w:t>
      </w:r>
    </w:p>
    <w:p>
      <w:pPr>
        <w:widowControl/>
        <w:jc w:val="both"/>
      </w:pPr>
      <w:r>
        <w:rPr>
          <w:rFonts w:ascii="Times New Roman" w:hAnsi="Times New Roman"/>
          <w:color w:val="000000"/>
        </w:rP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jc w:val="both"/>
      </w:pPr>
      <w:r>
        <w:rPr>
          <w:rFonts w:ascii="Times New Roman" w:hAnsi="Times New Roman"/>
          <w:color w:val="000000"/>
        </w:rP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rPr>
          <w:rFonts w:ascii="Times New Roman" w:hAnsi="Times New Roman"/>
          <w:color w:val="000000"/>
        </w:rPr>
        <w:t>Limitations</w:t>
      </w:r>
    </w:p>
    <w:p>
      <w:pPr>
        <w:widowControl/>
        <w:jc w:val="both"/>
      </w:pPr>
      <w:r>
        <w:rPr>
          <w:rFonts w:ascii="Times New Roman" w:hAnsi="Times New Roman"/>
          <w:color w:val="000000"/>
        </w:rPr>
        <w:t>End-to-end validation currently centers on one adenylate-kinase system, a 20 ps ethanol software fixture, and local known-site docking. The Ap5A pilot examines one ligand in two conformations of the same protein; the ADP pilot adds two ligand sites in a third structure of the same sequence. The three docking seeds per site assess algorithmic variability only. These data do not constitute an independent-target benchmark. ADP was modeled at an assumed −3 charge state, with Mg²⁺, crystallographic waters and other HETATM components omitted; the native product complex explicitly contains Mg²⁺, so electrostatic and coordination effects remain untested. The 8RJ4 construct is reported as engineered despite chain-A sequence identity to 1AKE. The crystal-derived box center and size make the ADP experiment a known-site recovery test, not blind docking.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jc w:val="both"/>
      </w:pPr>
      <w:r>
        <w:rPr>
          <w:rFonts w:ascii="Times New Roman" w:hAnsi="Times New Roman"/>
          <w:color w:val="000000"/>
        </w:rP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 The evolutionary analysis uses one bacterial adenylate-kinase family and a reference-guided, unweighted alignment; it does not establish orthology, correct for phylogenetic dependence, test enrichment, or generalize to other proteins.</w:t>
      </w:r>
    </w:p>
    <w:p>
      <w:pPr>
        <w:widowControl/>
        <w:jc w:val="both"/>
      </w:pPr>
      <w:r>
        <w:rPr>
          <w:rFonts w:ascii="Times New Roman" w:hAnsi="Times New Roman"/>
          <w:color w:val="000000"/>
        </w:rP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rPr>
          <w:rFonts w:ascii="Times New Roman" w:hAnsi="Times New Roman"/>
          <w:color w:val="000000"/>
        </w:rPr>
        <w:t>Availability</w:t>
      </w:r>
    </w:p>
    <w:p>
      <w:pPr>
        <w:widowControl/>
        <w:jc w:val="both"/>
      </w:pPr>
      <w:r>
        <w:rPr>
          <w:rFonts w:ascii="Times New Roman" w:hAnsi="Times New Roman"/>
          <w:color w:val="000000"/>
        </w:rPr>
        <w:t xml:space="preserve">The development repository is </w:t>
      </w:r>
      <w:hyperlink r:id="rId19">
        <w:r>
          <w:t>BioinformaticaUDESC/PocketToDynamics</w:t>
        </w:r>
      </w:hyperlink>
      <w:r>
        <w:rPr>
          <w:rFonts w:ascii="Times New Roman" w:hAnsi="Times New Roman"/>
          <w:color w:val="000000"/>
        </w:rPr>
        <w:t>. The implementation targets Linux and is written primarily in Python 3.11, with external molecular-simulation executables. At manuscript preparation the repository is private; access depends on repository-owner authorization. No public software release, archival DOI, or software license has been established, so no permission for reuse or non-academic use can yet be stated.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rPr>
          <w:rFonts w:ascii="Times New Roman" w:hAnsi="Times New Roman"/>
          <w:color w:val="000000"/>
        </w:rPr>
        <w:t>Discussion</w:t>
      </w:r>
    </w:p>
    <w:p>
      <w:pPr>
        <w:widowControl/>
        <w:jc w:val="both"/>
      </w:pPr>
      <w:r>
        <w:rPr>
          <w:rFonts w:ascii="Times New Roman" w:hAnsi="Times New Roman"/>
          <w:color w:val="000000"/>
        </w:rPr>
        <w:t>The evidence supports PocketToDynamics as a working integration prototype with explicit provenance and fail/skip semantics. The two-ligand redocking additions strengthen the technical evaluation beyond a single ligand: the adenine-containing dinucleotide Ap5A was recovered in the 1AKE holo structure in three searches, and ADP was recovered in each of two crystallographic sites in 8RJ4 across three seeds per site. Those results expose the workflow to different ligand sizes, formal-charge handling and binding-site geometries. Nevertheless, each run uses a known crystallographic site, all structures are adenylate kinase, and the seeds are computational repeats. The observed pose recovery therefore tests reproducible preparation/search/evaluation behavior under these specific conditions; it does not estimate performance across targets or prospective screening success.</w:t>
      </w:r>
    </w:p>
    <w:p>
      <w:pPr>
        <w:widowControl/>
        <w:jc w:val="both"/>
      </w:pPr>
      <w:r>
        <w:rPr>
          <w:rFonts w:ascii="Times New Roman" w:hAnsi="Times New Roman"/>
          <w:color w:val="000000"/>
        </w:rPr>
        <w:t>The relationship to existing software is best understood by function rather than by a leaderboard. Several tools already automate parts of the same space, and no head-to-head benchmark was performed.</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Existing workflow or component</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Published emphasis</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PocketToDynamics distinction in this study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Galaxy molecular-simulation protocols [2]</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Accessible web-based orchestration and reproducible GROMACS simulation histories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Local Python runner with candidate-gate semantics, module-level status records and explicit restart provenance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Enlighten2 [3]</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Containerized protein–ligand MD setup and execution through a GUI</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Pocket-screening-to-MD handoff plus trajectory, MM/GBSA, empirical landscape and archive modules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ConCavity [4]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Sequence conservation plus structural geometry for cavity prediction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Used as an upstream component; the evolutionary profile described here is post-hoc and does not rank sites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AutoDock Vina and Meeko [5–6]</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Docking engine and molecular input/output preparation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Integrated as components; this work makes no claim of a new docking score or improved pose accuracy</w:t>
            </w:r>
          </w:p>
        </w:tc>
      </w:tr>
    </w:tbl>
    <w:p>
      <w:pPr>
        <w:widowControl/>
        <w:spacing w:after="0"/>
        <w:jc w:val="both"/>
      </w:pPr>
    </w:p>
    <w:p>
      <w:pPr>
        <w:widowControl/>
        <w:jc w:val="both"/>
      </w:pPr>
      <w:r>
        <w:rPr>
          <w:rFonts w:ascii="Times New Roman" w:hAnsi="Times New Roman"/>
          <w:color w:val="000000"/>
        </w:rPr>
        <w:t>This comparison is qualitative and based on published scope, not an experimental feature or performance benchmark. The central engineering value lies in keeping provenance and eligibility decisions visible across tools. A candidate gate can prevent an unqualified ligand from flowing automatically into production dynamics, while an explicit fixture can test MD code paths without changing that scientific decision. Checksums and content-aware resume rules reduce ambiguous reuse, and an archive verification stage checks that packaged artifacts remain readable and intact. These properties support auditability, but they cannot ensure that a chosen protonation state, receptor structure, force field or scientific hypothesis is correct.</w:t>
      </w:r>
    </w:p>
    <w:p>
      <w:pPr>
        <w:pStyle w:val="Heading2"/>
        <w:widowControl/>
      </w:pPr>
      <w:r>
        <w:rPr>
          <w:rFonts w:ascii="Times New Roman" w:hAnsi="Times New Roman"/>
          <w:color w:val="000000"/>
        </w:rPr>
        <w:t>Validation layers and provenance semantics</w:t>
      </w:r>
    </w:p>
    <w:p>
      <w:pPr>
        <w:widowControl/>
        <w:jc w:val="both"/>
      </w:pPr>
      <w:r>
        <w:rPr>
          <w:rFonts w:ascii="Times New Roman" w:hAnsi="Times New Roman"/>
          <w:color w:val="000000"/>
        </w:rPr>
        <w:t>The workflow is most usefully evaluated as a state machine with distinct scientific and computational states. A module-level PASS means that its configured checks completed; it does not imply that the ligand is biologically active or that downstream sampling is warranted. SKIP records an unmet dependency or candidate-gate decision, whereas FAIL records an execution or integrity problem. Keeping these outcomes separate makes the production route auditable: an explicit fixture can exercise parameterization and analysis after the gate without changing the rejected production candidate into a hit. This distinction is essential when a workflow is used both for scientific screening and for software regression.</w:t>
      </w:r>
    </w:p>
    <w:p>
      <w:pPr>
        <w:widowControl/>
        <w:jc w:val="both"/>
      </w:pPr>
      <w:r>
        <w:rPr>
          <w:rFonts w:ascii="Times New Roman" w:hAnsi="Times New Roman"/>
          <w:color w:val="000000"/>
        </w:rPr>
        <w:t>Resume behavior further separates output existence from output validity. The docking runner checks input and parameter identity, executable version/content, task identity and pose hashes; segmented MD uses checkpoint and segment provenance. These checks reduce stale-artifact reuse and make recovery from interruption testable. They do not make runs bitwise deterministic across different hardware, parallel reductions, or dependency builds. The evidence therefore supports provenance-aware recovery within the recorded setup, while independent reproducibility still requires a clean installation and rerun by another operator. A public archive should pin software releases and configuration, record reference-data identifiers and licenses, and preserve both successful and failed attempts.</w:t>
      </w:r>
    </w:p>
    <w:p>
      <w:pPr>
        <w:pStyle w:val="Heading2"/>
        <w:widowControl/>
      </w:pPr>
      <w:r>
        <w:rPr>
          <w:rFonts w:ascii="Times New Roman" w:hAnsi="Times New Roman"/>
          <w:color w:val="000000"/>
        </w:rPr>
        <w:t>Molecular representation boundaries and validation depth</w:t>
      </w:r>
    </w:p>
    <w:p>
      <w:pPr>
        <w:widowControl/>
        <w:jc w:val="both"/>
      </w:pPr>
      <w:r>
        <w:rPr>
          <w:rFonts w:ascii="Times New Roman" w:hAnsi="Times New Roman"/>
          <w:color w:val="000000"/>
        </w:rPr>
        <w:t>A central technical boundary is the conversion between chemical graph, docking representation and simulation topology. The ethanol fixture restores the normalized SDF as the chemistry reference while transferring docked heavy-atom coordinates, addressing atom and hydrogen loss in the PDBQT route for that fixture. This identity-preserving handoff is a software safeguard, not a general resolution of protonation or tautomer uncertainty. The ADP pilot makes the remaining modeling decisions visible: charge −3 is assumed, Mg²⁺ and crystallographic waters are removed, and the crystal-defined site sets the search box. Near-crystal pose recovery under those conditions tests coordinate handling and local search; it cannot test metal coordination, blind site detection, or alternative microstates.</w:t>
      </w:r>
    </w:p>
    <w:p>
      <w:pPr>
        <w:widowControl/>
        <w:jc w:val="both"/>
      </w:pPr>
      <w:r>
        <w:rPr>
          <w:rFonts w:ascii="Times New Roman" w:hAnsi="Times New Roman"/>
          <w:color w:val="000000"/>
        </w:rPr>
        <w:t>The MD fixture also illustrates why checks at different levels must not be conflated. Topology/trajectory atom-count agreement, 21-frame time coverage, finite coordinates, PCA reconstruction, histogram accounting and archive hashes test selected implementation invariants. RMSD, contact occupancy, MM/GBSA and PCA landscape all derive from the same short trajectory, so they are not independent confirmations of binding. Three energetic frames cannot estimate a converged endpoint free energy, and a 5 × 5 occupancy histogram cannot identify equilibrium basins from 20 ps of ethanol motion. A stronger scientific validation would pair independent targets and ligands with prespecified pose-recovery and enrichment metrics, vary protonation and receptor preparation, and use replicated longer simulations with convergence diagnostics evaluated on observables not used to tune the protocol.</w:t>
      </w:r>
    </w:p>
    <w:p>
      <w:pPr>
        <w:widowControl/>
        <w:jc w:val="both"/>
      </w:pPr>
      <w:r>
        <w:rPr>
          <w:rFonts w:ascii="Times New Roman" w:hAnsi="Times New Roman"/>
          <w:color w:val="000000"/>
        </w:rPr>
        <w:t>The additional structure analysis clarifies why the receptor context matters. 8RJ4 is near the 1AKE holo chain in a global Cα alignment, whereas 4AKE is a strongly open state with substantial domain motions. Accordingly, the large ligand displacement in the globally aligned 4AKE experiment should not be read as a docking failure under a locally relaxed or state-specific definition; it is an expected consequence of comparing a ligand pose across conformations without fitting the ligand or receptor pocket independently. Conversely, a close ADP redocking RMSD in the near-closed 8RJ4 receptor cannot establish robustness to induced fit. The contact-footprint overlap suggests common and site-specific residues but does not establish substrate order, catalytic mechanism or differential affinity. The native Mg²⁺-ADP coordination is a particularly important omitted feature: the present scoring setup deliberately strips the metal and waters, so this calculation does not recreate the experimentally observed coordination network.</w:t>
      </w:r>
    </w:p>
    <w:p>
      <w:pPr>
        <w:widowControl/>
        <w:jc w:val="both"/>
      </w:pPr>
      <w:r>
        <w:rPr>
          <w:rFonts w:ascii="Times New Roman" w:hAnsi="Times New Roman"/>
          <w:color w:val="000000"/>
        </w:rPr>
        <w:t>The sequence-to-structure extension demonstrates a narrow evolutionary-bioinformatics use: a reproducible enzyme-family profile is mapped to a structure-defined ligand site with coverage and alignment provenance retained. Unlike ConCavity [4], it does not combine conservation with cavity geometry to predict or rank binding sites. Its higher descriptive mean conservation among Ap5A-contact residues may be expected for a functional enzyme site, but residue observations are spatially and evolutionarily dependent. A stronger evolutionary claim would require a curated ortholog set, phylogenetic weighting, a prespecified null model, multiple proteins and held-out site labels. The current conservation plot should therefore be read as an auditable annotation of this one example, not a new predictor.</w:t>
      </w:r>
    </w:p>
    <w:p>
      <w:pPr>
        <w:widowControl/>
        <w:jc w:val="both"/>
      </w:pPr>
      <w:r>
        <w:rPr>
          <w:rFonts w:ascii="Times New Roman" w:hAnsi="Times New Roman"/>
          <w:color w:val="000000"/>
        </w:rPr>
        <w:t>Most importantly, breadth of modules is not equivalent to depth of scientific validation. The 20 ps ethanol trajectory, three-frame MM/GBSA calculation and binned PCA landscape are useful integration fixtures but are too short and sparse to establish equilibrium, binding persistence or a molecular mechanism. Docking scores, endpoint estimates and trajectory observables are not independent confirmations of affinity. Likewise, the availability of implementations for M15–M21 means those modules are no longer merely planned; it does not mean their defaults are validated across systems. For a methods article, this distinction is a strength only when reported transparently and paired with a carefully bounded evaluation. A submission making broad utility or predictive claims would need independent proteins and ligands, retrospective benchmark sets with decoys and enrichment statistics, prospective screening, metal-aware nucleotide docking, longer replicated MD, sensitivity analysis, independent clean-install reproduction, and a public versioned release with a license and archival identifier.</w:t>
      </w:r>
    </w:p>
    <w:p>
      <w:pPr>
        <w:widowControl/>
        <w:jc w:val="both"/>
      </w:pPr>
      <w:r>
        <w:rPr>
          <w:rFonts w:ascii="Times New Roman" w:hAnsi="Times New Roman"/>
          <w:color w:val="000000"/>
        </w:rPr>
        <w:t>As a journal format, Technology and Code is the closest description of this software contribution: the paper reports an implemented workflow, its evidence, and its limitations. Collection eligibility is less clear. Although the Topic page lists general journal article types, its specific invitation names mini reviews, systematic reviews, and full reviews. This manuscript is a software report rather than a review, so its eligibility for this collection requires confirmation from the Topic editors. The manuscript should not be relabeled as a review without a genuine critical synthesis and explicit review method. Its evolutionary-bioinformatics relevance currently comes from a companion conservation-mapping case study rather than a new evolutionary algorithm. The evidence has been expanded here, but the manuscript should not be described as a complete tier-one benchmark or as submission-ready without editorial confirmation, a public release, author disclosures, and independent reproduction.</w:t>
      </w:r>
    </w:p>
    <w:p>
      <w:pPr>
        <w:pStyle w:val="Heading1"/>
        <w:widowControl/>
      </w:pPr>
      <w:r>
        <w:rPr>
          <w:rFonts w:ascii="Times New Roman" w:hAnsi="Times New Roman"/>
          <w:color w:val="000000"/>
        </w:rPr>
        <w:t>Conclusion</w:t>
      </w:r>
    </w:p>
    <w:p>
      <w:pPr>
        <w:widowControl/>
        <w:jc w:val="both"/>
      </w:pPr>
      <w:r>
        <w:rPr>
          <w:rFonts w:ascii="Times New Roman" w:hAnsi="Times New Roman"/>
          <w:color w:val="000000"/>
        </w:rP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Separate Ap5A and two-site ADP pilots add narrowly scoped pose-recovery evidence under known-site protocols; they do not change the production gate or establish affinity. The current evidence supports a technical workflow report with an evolutionary sequence-to-structure application and a foundation for broader validation; it does not support claims of ligand efficacy, binding affinity, thermodynamic convergence, or experimentally established molecular mechanisms.</w:t>
      </w:r>
    </w:p>
    <w:p>
      <w:pPr>
        <w:pStyle w:val="Heading1"/>
        <w:widowControl/>
      </w:pPr>
      <w:r>
        <w:rPr>
          <w:rFonts w:ascii="Times New Roman" w:hAnsi="Times New Roman"/>
          <w:color w:val="000000"/>
        </w:rPr>
        <w:t>References</w:t>
      </w:r>
    </w:p>
    <w:p>
      <w:pPr>
        <w:widowControl/>
        <w:jc w:val="left"/>
      </w:pPr>
      <w:r>
        <w:rPr>
          <w:rFonts w:ascii="Times New Roman" w:hAnsi="Times New Roman"/>
          <w:color w:val="000000"/>
        </w:rPr>
        <w:t xml:space="preserve">1. Abraham MJ, Murtola T, Schulz R, et al. GROMACS: High performance molecular simulations through multi-level parallelism from laptops to supercomputers. </w:t>
      </w:r>
      <w:r>
        <w:rPr>
          <w:rFonts w:ascii="Times New Roman" w:hAnsi="Times New Roman"/>
          <w:i/>
          <w:color w:val="000000"/>
        </w:rPr>
        <w:t>SoftwareX</w:t>
      </w:r>
      <w:r>
        <w:rPr>
          <w:rFonts w:ascii="Times New Roman" w:hAnsi="Times New Roman"/>
          <w:color w:val="000000"/>
        </w:rPr>
        <w:t xml:space="preserve">. 2015;1–2:19–25. </w:t>
      </w:r>
      <w:hyperlink r:id="rId20">
        <w:r>
          <w:t>doi:10.1016/j.softx.2015.06.001</w:t>
        </w:r>
      </w:hyperlink>
      <w:r>
        <w:rPr>
          <w:rFonts w:ascii="Times New Roman" w:hAnsi="Times New Roman"/>
          <w:color w:val="000000"/>
        </w:rPr>
        <w:t>.</w:t>
      </w:r>
    </w:p>
    <w:p>
      <w:pPr>
        <w:widowControl/>
        <w:jc w:val="left"/>
      </w:pPr>
      <w:r>
        <w:rPr>
          <w:rFonts w:ascii="Times New Roman" w:hAnsi="Times New Roman"/>
          <w:color w:val="000000"/>
        </w:rPr>
        <w:t xml:space="preserve">2. Bray SA, Senapathi T, Barnett CB, Grüning BA. Intuitive, reproducible high-throughput molecular dynamics in Galaxy: a tutorial. </w:t>
      </w:r>
      <w:r>
        <w:rPr>
          <w:rFonts w:ascii="Times New Roman" w:hAnsi="Times New Roman"/>
          <w:i/>
          <w:color w:val="000000"/>
        </w:rPr>
        <w:t>Journal of Cheminformatics</w:t>
      </w:r>
      <w:r>
        <w:rPr>
          <w:rFonts w:ascii="Times New Roman" w:hAnsi="Times New Roman"/>
          <w:color w:val="000000"/>
        </w:rPr>
        <w:t xml:space="preserve">. 2020;12:54. </w:t>
      </w:r>
      <w:hyperlink r:id="rId21">
        <w:r>
          <w:t>doi:10.1186/s13321-020-00451-6</w:t>
        </w:r>
      </w:hyperlink>
      <w:r>
        <w:rPr>
          <w:rFonts w:ascii="Times New Roman" w:hAnsi="Times New Roman"/>
          <w:color w:val="000000"/>
        </w:rPr>
        <w:t>.</w:t>
      </w:r>
    </w:p>
    <w:p>
      <w:pPr>
        <w:widowControl/>
        <w:jc w:val="left"/>
      </w:pPr>
      <w:r>
        <w:rPr>
          <w:rFonts w:ascii="Times New Roman" w:hAnsi="Times New Roman"/>
          <w:color w:val="000000"/>
        </w:rPr>
        <w:t xml:space="preserve">3. Zinovjev K, van der Kamp MW. Enlighten2: molecular dynamics simulations of protein–ligand systems made accessible. </w:t>
      </w:r>
      <w:r>
        <w:rPr>
          <w:rFonts w:ascii="Times New Roman" w:hAnsi="Times New Roman"/>
          <w:i/>
          <w:color w:val="000000"/>
        </w:rPr>
        <w:t>Bioinformatics</w:t>
      </w:r>
      <w:r>
        <w:rPr>
          <w:rFonts w:ascii="Times New Roman" w:hAnsi="Times New Roman"/>
          <w:color w:val="000000"/>
        </w:rPr>
        <w:t xml:space="preserve">. 2020;36:5104–5106. </w:t>
      </w:r>
      <w:hyperlink r:id="rId22">
        <w:r>
          <w:t>doi:10.1093/bioinformatics/btaa643</w:t>
        </w:r>
      </w:hyperlink>
      <w:r>
        <w:rPr>
          <w:rFonts w:ascii="Times New Roman" w:hAnsi="Times New Roman"/>
          <w:color w:val="000000"/>
        </w:rPr>
        <w:t>.</w:t>
      </w:r>
    </w:p>
    <w:p>
      <w:pPr>
        <w:widowControl/>
        <w:jc w:val="left"/>
      </w:pPr>
      <w:r>
        <w:rPr>
          <w:rFonts w:ascii="Times New Roman" w:hAnsi="Times New Roman"/>
          <w:color w:val="000000"/>
        </w:rPr>
        <w:t xml:space="preserve">4. Capra JA, Laskowski RA, Thornton JM, Singh M, Funkhouser TA. Predicting Protein Ligand Binding Sites by Combining Evolutionary Sequence Conservation and 3D Structure. </w:t>
      </w:r>
      <w:r>
        <w:rPr>
          <w:rFonts w:ascii="Times New Roman" w:hAnsi="Times New Roman"/>
          <w:i/>
          <w:color w:val="000000"/>
        </w:rPr>
        <w:t>PLOS Computational Biology</w:t>
      </w:r>
      <w:r>
        <w:rPr>
          <w:rFonts w:ascii="Times New Roman" w:hAnsi="Times New Roman"/>
          <w:color w:val="000000"/>
        </w:rPr>
        <w:t xml:space="preserve">. 2009;5:e1000585. </w:t>
      </w:r>
      <w:hyperlink r:id="rId23">
        <w:r>
          <w:t>doi:10.1371/journal.pcbi.1000585</w:t>
        </w:r>
      </w:hyperlink>
      <w:r>
        <w:rPr>
          <w:rFonts w:ascii="Times New Roman" w:hAnsi="Times New Roman"/>
          <w:color w:val="000000"/>
        </w:rPr>
        <w:t>.</w:t>
      </w:r>
    </w:p>
    <w:p>
      <w:pPr>
        <w:widowControl/>
        <w:jc w:val="left"/>
      </w:pPr>
      <w:r>
        <w:rPr>
          <w:rFonts w:ascii="Times New Roman" w:hAnsi="Times New Roman"/>
          <w:color w:val="000000"/>
        </w:rPr>
        <w:t xml:space="preserve">5. Eberhardt J, Santos-Martins D, Tillack AF, Forli S. AutoDock Vina 1.2.0: New Docking Methods, Expanded Force Field, and Python Bindings. </w:t>
      </w:r>
      <w:r>
        <w:rPr>
          <w:rFonts w:ascii="Times New Roman" w:hAnsi="Times New Roman"/>
          <w:i/>
          <w:color w:val="000000"/>
        </w:rPr>
        <w:t>Journal of Chemical Information and Modeling</w:t>
      </w:r>
      <w:r>
        <w:rPr>
          <w:rFonts w:ascii="Times New Roman" w:hAnsi="Times New Roman"/>
          <w:color w:val="000000"/>
        </w:rPr>
        <w:t xml:space="preserve">. 2021;61:3891–3898. </w:t>
      </w:r>
      <w:hyperlink r:id="rId24">
        <w:r>
          <w:t>doi:10.1021/acs.jcim.1c00203</w:t>
        </w:r>
      </w:hyperlink>
      <w:r>
        <w:rPr>
          <w:rFonts w:ascii="Times New Roman" w:hAnsi="Times New Roman"/>
          <w:color w:val="000000"/>
        </w:rPr>
        <w:t>.</w:t>
      </w:r>
    </w:p>
    <w:p>
      <w:pPr>
        <w:widowControl/>
        <w:jc w:val="left"/>
      </w:pPr>
      <w:r>
        <w:rPr>
          <w:rFonts w:ascii="Times New Roman" w:hAnsi="Times New Roman"/>
          <w:color w:val="000000"/>
        </w:rPr>
        <w:t xml:space="preserve">6. Santos-Martins D, He Y, Eberhardt J, et al. Meeko: Molecule Parametrization and Software Interoperability for Docking and Beyond. </w:t>
      </w:r>
      <w:r>
        <w:rPr>
          <w:rFonts w:ascii="Times New Roman" w:hAnsi="Times New Roman"/>
          <w:i/>
          <w:color w:val="000000"/>
        </w:rPr>
        <w:t>Journal of Chemical Information and Modeling</w:t>
      </w:r>
      <w:r>
        <w:rPr>
          <w:rFonts w:ascii="Times New Roman" w:hAnsi="Times New Roman"/>
          <w:color w:val="000000"/>
        </w:rPr>
        <w:t xml:space="preserve">. 2025;65:13045–13050. </w:t>
      </w:r>
      <w:hyperlink r:id="rId25">
        <w:r>
          <w:t>doi:10.1021/acs.jcim.5c02271</w:t>
        </w:r>
      </w:hyperlink>
      <w:r>
        <w:rPr>
          <w:rFonts w:ascii="Times New Roman" w:hAnsi="Times New Roman"/>
          <w:color w:val="000000"/>
        </w:rPr>
        <w:t>.</w:t>
      </w:r>
    </w:p>
    <w:p>
      <w:pPr>
        <w:widowControl/>
        <w:jc w:val="left"/>
      </w:pPr>
      <w:r>
        <w:rPr>
          <w:rFonts w:ascii="Times New Roman" w:hAnsi="Times New Roman"/>
          <w:color w:val="000000"/>
        </w:rPr>
        <w:t xml:space="preserve">7. O’Boyle NM, Banck M, James CA, Morley C, Vandermeersch T, Hutchison GR. Open Babel: An open chemical toolbox. </w:t>
      </w:r>
      <w:r>
        <w:rPr>
          <w:rFonts w:ascii="Times New Roman" w:hAnsi="Times New Roman"/>
          <w:i/>
          <w:color w:val="000000"/>
        </w:rPr>
        <w:t>Journal of Cheminformatics</w:t>
      </w:r>
      <w:r>
        <w:rPr>
          <w:rFonts w:ascii="Times New Roman" w:hAnsi="Times New Roman"/>
          <w:color w:val="000000"/>
        </w:rPr>
        <w:t xml:space="preserve">. 2011;3:33. </w:t>
      </w:r>
      <w:hyperlink r:id="rId26">
        <w:r>
          <w:t>doi:10.1186/1758-2946-3-33</w:t>
        </w:r>
      </w:hyperlink>
      <w:r>
        <w:rPr>
          <w:rFonts w:ascii="Times New Roman" w:hAnsi="Times New Roman"/>
          <w:color w:val="000000"/>
        </w:rPr>
        <w:t>.</w:t>
      </w:r>
    </w:p>
    <w:p>
      <w:pPr>
        <w:widowControl/>
        <w:jc w:val="left"/>
      </w:pPr>
      <w:r>
        <w:rPr>
          <w:rFonts w:ascii="Times New Roman" w:hAnsi="Times New Roman"/>
          <w:color w:val="000000"/>
        </w:rPr>
        <w:t xml:space="preserve">8. RDKit: Open-source cheminformatics. Zenodo release record. </w:t>
      </w:r>
      <w:hyperlink r:id="rId27">
        <w:r>
          <w:t>doi:10.5281/zenodo.591637</w:t>
        </w:r>
      </w:hyperlink>
      <w:r>
        <w:rPr>
          <w:rFonts w:ascii="Times New Roman" w:hAnsi="Times New Roman"/>
          <w:color w:val="000000"/>
        </w:rPr>
        <w:t>.</w:t>
      </w:r>
    </w:p>
    <w:p>
      <w:pPr>
        <w:widowControl/>
        <w:jc w:val="left"/>
      </w:pPr>
      <w:r>
        <w:rPr>
          <w:rFonts w:ascii="Times New Roman" w:hAnsi="Times New Roman"/>
          <w:color w:val="000000"/>
        </w:rPr>
        <w:t xml:space="preserve">9. Nam K, Thodika ART, Tischlik S, et al. Magnesium induced structural reorganization in the active site of adenylate kinase. </w:t>
      </w:r>
      <w:r>
        <w:rPr>
          <w:rFonts w:ascii="Times New Roman" w:hAnsi="Times New Roman"/>
          <w:i/>
          <w:color w:val="000000"/>
        </w:rPr>
        <w:t>Science Advances</w:t>
      </w:r>
      <w:r>
        <w:rPr>
          <w:rFonts w:ascii="Times New Roman" w:hAnsi="Times New Roman"/>
          <w:color w:val="000000"/>
        </w:rPr>
        <w:t xml:space="preserve">. 2024;10:eado5504. </w:t>
      </w:r>
      <w:hyperlink r:id="rId28">
        <w:r>
          <w:t>doi:10.1126/sciadv.ado5504</w:t>
        </w:r>
      </w:hyperlink>
      <w:r>
        <w:rPr>
          <w:rFonts w:ascii="Times New Roman" w:hAnsi="Times New Roman"/>
          <w:color w:val="000000"/>
        </w:rPr>
        <w:t>.</w:t>
      </w:r>
    </w:p>
    <w:p>
      <w:pPr>
        <w:widowControl/>
        <w:jc w:val="left"/>
      </w:pPr>
      <w:r>
        <w:rPr>
          <w:rFonts w:ascii="Times New Roman" w:hAnsi="Times New Roman"/>
          <w:color w:val="000000"/>
        </w:rPr>
        <w:t xml:space="preserve">10. Berman HM, Westbrook J, Feng Z, et al. The Protein Data Bank. </w:t>
      </w:r>
      <w:r>
        <w:rPr>
          <w:rFonts w:ascii="Times New Roman" w:hAnsi="Times New Roman"/>
          <w:i/>
          <w:color w:val="000000"/>
        </w:rPr>
        <w:t>Nucleic Acids Research</w:t>
      </w:r>
      <w:r>
        <w:rPr>
          <w:rFonts w:ascii="Times New Roman" w:hAnsi="Times New Roman"/>
          <w:color w:val="000000"/>
        </w:rPr>
        <w:t xml:space="preserve">. 2000;28:235–242. </w:t>
      </w:r>
      <w:hyperlink r:id="rId29">
        <w:r>
          <w:t>doi:10.1093/nar/28.1.235</w:t>
        </w:r>
      </w:hyperlink>
      <w:r>
        <w:rPr>
          <w:rFonts w:ascii="Times New Roman" w:hAnsi="Times New Roman"/>
          <w:color w:val="000000"/>
        </w:rPr>
        <w:t>.</w:t>
      </w:r>
    </w:p>
    <w:p>
      <w:pPr>
        <w:widowControl/>
        <w:jc w:val="left"/>
      </w:pPr>
      <w:r>
        <w:rPr>
          <w:rFonts w:ascii="Times New Roman" w:hAnsi="Times New Roman"/>
          <w:color w:val="000000"/>
        </w:rPr>
        <w:t xml:space="preserve">11. Tian C, Kasavajhala K, Wang Y, et al. ff19SB: Amino-Acid-Specific Protein Backbone Parameters Trained against Quantum Mechanics Energy Surfaces in Solution. </w:t>
      </w:r>
      <w:r>
        <w:rPr>
          <w:rFonts w:ascii="Times New Roman" w:hAnsi="Times New Roman"/>
          <w:i/>
          <w:color w:val="000000"/>
        </w:rPr>
        <w:t>Journal of Chemical Theory and Computation</w:t>
      </w:r>
      <w:r>
        <w:rPr>
          <w:rFonts w:ascii="Times New Roman" w:hAnsi="Times New Roman"/>
          <w:color w:val="000000"/>
        </w:rPr>
        <w:t xml:space="preserve">. 2020;16:528–552. </w:t>
      </w:r>
      <w:hyperlink r:id="rId30">
        <w:r>
          <w:t>doi:10.1021/acs.jctc.9b00591</w:t>
        </w:r>
      </w:hyperlink>
      <w:r>
        <w:rPr>
          <w:rFonts w:ascii="Times New Roman" w:hAnsi="Times New Roman"/>
          <w:color w:val="000000"/>
        </w:rPr>
        <w:t>.</w:t>
      </w:r>
    </w:p>
    <w:p>
      <w:pPr>
        <w:widowControl/>
        <w:jc w:val="left"/>
      </w:pPr>
      <w:r>
        <w:rPr>
          <w:rFonts w:ascii="Times New Roman" w:hAnsi="Times New Roman"/>
          <w:color w:val="000000"/>
        </w:rPr>
        <w:t xml:space="preserve">12. Wang J, Wolf RM, Caldwell JW, Kollman PA, Case DA. Development and testing of a general amber force field. </w:t>
      </w:r>
      <w:r>
        <w:rPr>
          <w:rFonts w:ascii="Times New Roman" w:hAnsi="Times New Roman"/>
          <w:i/>
          <w:color w:val="000000"/>
        </w:rPr>
        <w:t>Journal of Computational Chemistry</w:t>
      </w:r>
      <w:r>
        <w:rPr>
          <w:rFonts w:ascii="Times New Roman" w:hAnsi="Times New Roman"/>
          <w:color w:val="000000"/>
        </w:rPr>
        <w:t xml:space="preserve">. 2004;25:1157–1174. </w:t>
      </w:r>
      <w:hyperlink r:id="rId31">
        <w:r>
          <w:t>doi:10.1002/jcc.20035</w:t>
        </w:r>
      </w:hyperlink>
      <w:r>
        <w:rPr>
          <w:rFonts w:ascii="Times New Roman" w:hAnsi="Times New Roman"/>
          <w:color w:val="000000"/>
        </w:rPr>
        <w:t>.</w:t>
      </w:r>
    </w:p>
    <w:p>
      <w:pPr>
        <w:widowControl/>
        <w:jc w:val="left"/>
      </w:pPr>
      <w:r>
        <w:rPr>
          <w:rFonts w:ascii="Times New Roman" w:hAnsi="Times New Roman"/>
          <w:color w:val="000000"/>
        </w:rPr>
        <w:t xml:space="preserve">13. Jakalian A, Bush BL, Jack DB, Bayly CI. Fast, efficient generation of high-quality atomic charges. AM1-BCC model: I. Method. </w:t>
      </w:r>
      <w:r>
        <w:rPr>
          <w:rFonts w:ascii="Times New Roman" w:hAnsi="Times New Roman"/>
          <w:i/>
          <w:color w:val="000000"/>
        </w:rPr>
        <w:t>Journal of Computational Chemistry</w:t>
      </w:r>
      <w:r>
        <w:rPr>
          <w:rFonts w:ascii="Times New Roman" w:hAnsi="Times New Roman"/>
          <w:color w:val="000000"/>
        </w:rPr>
        <w:t xml:space="preserve">. 2000;21:132–146. </w:t>
      </w:r>
      <w:hyperlink r:id="rId32">
        <w:r>
          <w:t>doi:10.1002/(SICI)1096-987X(20000130)21:2&lt;132::AID-JCC5&gt;3.0.CO;2-P</w:t>
        </w:r>
      </w:hyperlink>
      <w:r>
        <w:rPr>
          <w:rFonts w:ascii="Times New Roman" w:hAnsi="Times New Roman"/>
          <w:color w:val="000000"/>
        </w:rPr>
        <w:t>.</w:t>
      </w:r>
    </w:p>
    <w:p>
      <w:pPr>
        <w:widowControl/>
        <w:jc w:val="left"/>
      </w:pPr>
      <w:r>
        <w:rPr>
          <w:rFonts w:ascii="Times New Roman" w:hAnsi="Times New Roman"/>
          <w:color w:val="000000"/>
        </w:rPr>
        <w:t xml:space="preserve">14. Swails JM, Hernandez C, Mobley DL, Nguyen H, Wang L-P, Janowski P. ParmEd: Cross-program parameter and topology file editor and molecular mechanical simulator engine. </w:t>
      </w:r>
      <w:r>
        <w:rPr>
          <w:rFonts w:ascii="Times New Roman" w:hAnsi="Times New Roman"/>
          <w:i/>
          <w:color w:val="000000"/>
        </w:rPr>
        <w:t>Journal of Computer-Aided Molecular Design</w:t>
      </w:r>
      <w:r>
        <w:rPr>
          <w:rFonts w:ascii="Times New Roman" w:hAnsi="Times New Roman"/>
          <w:color w:val="000000"/>
        </w:rPr>
        <w:t xml:space="preserve">. 2016;30:1049–1051. </w:t>
      </w:r>
      <w:hyperlink r:id="rId33">
        <w:r>
          <w:t>doi:10.1007/s10822-016-9977-1</w:t>
        </w:r>
      </w:hyperlink>
      <w:r>
        <w:rPr>
          <w:rFonts w:ascii="Times New Roman" w:hAnsi="Times New Roman"/>
          <w:color w:val="000000"/>
        </w:rPr>
        <w:t>.</w:t>
      </w:r>
    </w:p>
    <w:p>
      <w:pPr>
        <w:widowControl/>
        <w:jc w:val="left"/>
      </w:pPr>
      <w:r>
        <w:rPr>
          <w:rFonts w:ascii="Times New Roman" w:hAnsi="Times New Roman"/>
          <w:color w:val="000000"/>
        </w:rPr>
        <w:t xml:space="preserve">15. Jorgensen WL, Chandrasekhar J, Madura JD, Impey RW, Klein ML. Comparison of simple potential functions for simulating liquid water. </w:t>
      </w:r>
      <w:r>
        <w:rPr>
          <w:rFonts w:ascii="Times New Roman" w:hAnsi="Times New Roman"/>
          <w:i/>
          <w:color w:val="000000"/>
        </w:rPr>
        <w:t>The Journal of Chemical Physics</w:t>
      </w:r>
      <w:r>
        <w:rPr>
          <w:rFonts w:ascii="Times New Roman" w:hAnsi="Times New Roman"/>
          <w:color w:val="000000"/>
        </w:rPr>
        <w:t xml:space="preserve">. 1983;79:926–935. </w:t>
      </w:r>
      <w:hyperlink r:id="rId34">
        <w:r>
          <w:t>doi:10.1063/1.445869</w:t>
        </w:r>
      </w:hyperlink>
      <w:r>
        <w:rPr>
          <w:rFonts w:ascii="Times New Roman" w:hAnsi="Times New Roman"/>
          <w:color w:val="000000"/>
        </w:rPr>
        <w:t>.</w:t>
      </w:r>
    </w:p>
    <w:p>
      <w:pPr>
        <w:widowControl/>
        <w:jc w:val="left"/>
      </w:pPr>
      <w:r>
        <w:rPr>
          <w:rFonts w:ascii="Times New Roman" w:hAnsi="Times New Roman"/>
          <w:color w:val="000000"/>
        </w:rPr>
        <w:t xml:space="preserve">16. Michaud-Agrawal N, Denning EJ, Woolf TB, Beckstein O. MDAnalysis: A Toolkit for the Analysis of Molecular Dynamics Simulations. </w:t>
      </w:r>
      <w:r>
        <w:rPr>
          <w:rFonts w:ascii="Times New Roman" w:hAnsi="Times New Roman"/>
          <w:i/>
          <w:color w:val="000000"/>
        </w:rPr>
        <w:t>Journal of Computational Chemistry</w:t>
      </w:r>
      <w:r>
        <w:rPr>
          <w:rFonts w:ascii="Times New Roman" w:hAnsi="Times New Roman"/>
          <w:color w:val="000000"/>
        </w:rPr>
        <w:t xml:space="preserve">. 2011;32:2319–2327. </w:t>
      </w:r>
      <w:hyperlink r:id="rId35">
        <w:r>
          <w:t>doi:10.1002/jcc.21787</w:t>
        </w:r>
      </w:hyperlink>
      <w:r>
        <w:rPr>
          <w:rFonts w:ascii="Times New Roman" w:hAnsi="Times New Roman"/>
          <w:color w:val="000000"/>
        </w:rPr>
        <w:t>.</w:t>
      </w:r>
    </w:p>
    <w:p>
      <w:pPr>
        <w:widowControl/>
        <w:jc w:val="left"/>
      </w:pPr>
      <w:r>
        <w:rPr>
          <w:rFonts w:ascii="Times New Roman" w:hAnsi="Times New Roman"/>
          <w:color w:val="000000"/>
        </w:rPr>
        <w:t xml:space="preserve">17. Gowers RJ, Linke M, Barnoud J, et al. MDAnalysis: A Python package for the rapid analysis of molecular dynamics simulations. In: </w:t>
      </w:r>
      <w:r>
        <w:rPr>
          <w:rFonts w:ascii="Times New Roman" w:hAnsi="Times New Roman"/>
          <w:i/>
          <w:color w:val="000000"/>
        </w:rPr>
        <w:t>Proceedings of the 15th Python in Science Conference</w:t>
      </w:r>
      <w:r>
        <w:rPr>
          <w:rFonts w:ascii="Times New Roman" w:hAnsi="Times New Roman"/>
          <w:color w:val="000000"/>
        </w:rPr>
        <w:t xml:space="preserve">. 2016:98–105. </w:t>
      </w:r>
      <w:hyperlink r:id="rId36">
        <w:r>
          <w:t>doi:10.25080/Majora-629e541a-00e</w:t>
        </w:r>
      </w:hyperlink>
      <w:r>
        <w:rPr>
          <w:rFonts w:ascii="Times New Roman" w:hAnsi="Times New Roman"/>
          <w:color w:val="000000"/>
        </w:rPr>
        <w:t>.</w:t>
      </w:r>
    </w:p>
    <w:p>
      <w:pPr>
        <w:widowControl/>
        <w:jc w:val="left"/>
      </w:pPr>
      <w:r>
        <w:rPr>
          <w:rFonts w:ascii="Times New Roman" w:hAnsi="Times New Roman"/>
          <w:color w:val="000000"/>
        </w:rPr>
        <w:t xml:space="preserve">18. Miller BR III, McGee TD Jr, Swails JM, Homeyer N, Gohlke H, Roitberg AE. MMPBSA.py: An Efficient Program for End-State Free Energy Calculations. </w:t>
      </w:r>
      <w:r>
        <w:rPr>
          <w:rFonts w:ascii="Times New Roman" w:hAnsi="Times New Roman"/>
          <w:i/>
          <w:color w:val="000000"/>
        </w:rPr>
        <w:t>Journal of Chemical Theory and Computation</w:t>
      </w:r>
      <w:r>
        <w:rPr>
          <w:rFonts w:ascii="Times New Roman" w:hAnsi="Times New Roman"/>
          <w:color w:val="000000"/>
        </w:rPr>
        <w:t xml:space="preserve">. 2012;8:3314–3321. </w:t>
      </w:r>
      <w:hyperlink r:id="rId37">
        <w:r>
          <w:t>doi:10.1021/ct300418h</w:t>
        </w:r>
      </w:hyperlink>
      <w:r>
        <w:rPr>
          <w:rFonts w:ascii="Times New Roman" w:hAnsi="Times New Roman"/>
          <w:color w:val="000000"/>
        </w:rPr>
        <w:t>.</w:t>
      </w:r>
    </w:p>
    <w:p>
      <w:pPr>
        <w:widowControl/>
        <w:jc w:val="left"/>
      </w:pPr>
      <w:r>
        <w:rPr>
          <w:rFonts w:ascii="Times New Roman" w:hAnsi="Times New Roman"/>
          <w:color w:val="000000"/>
        </w:rPr>
        <w:t xml:space="preserve">19. The UniProt Consortium. UniProt: the Universal Protein Knowledgebase in 2023. </w:t>
      </w:r>
      <w:r>
        <w:rPr>
          <w:rFonts w:ascii="Times New Roman" w:hAnsi="Times New Roman"/>
          <w:i/>
          <w:color w:val="000000"/>
        </w:rPr>
        <w:t>Nucleic Acids Research</w:t>
      </w:r>
      <w:r>
        <w:rPr>
          <w:rFonts w:ascii="Times New Roman" w:hAnsi="Times New Roman"/>
          <w:color w:val="000000"/>
        </w:rPr>
        <w:t xml:space="preserve">. 2023;51:D523–D531. </w:t>
      </w:r>
      <w:hyperlink r:id="rId38">
        <w:r>
          <w:t>doi:10.1093/nar/gkac1052</w:t>
        </w:r>
      </w:hyperlink>
      <w:r>
        <w:rPr>
          <w:rFonts w:ascii="Times New Roman" w:hAnsi="Times New Roman"/>
          <w:color w:val="000000"/>
        </w:rPr>
        <w:t>.</w:t>
      </w:r>
    </w:p>
    <w:p>
      <w:pPr>
        <w:widowControl/>
        <w:jc w:val="left"/>
      </w:pPr>
      <w:r>
        <w:rPr>
          <w:rFonts w:ascii="Times New Roman" w:hAnsi="Times New Roman"/>
          <w:color w:val="000000"/>
        </w:rPr>
        <w:t xml:space="preserve">20. Henikoff S, Henikoff JG. Amino acid substitution matrices from protein blocks. </w:t>
      </w:r>
      <w:r>
        <w:rPr>
          <w:rFonts w:ascii="Times New Roman" w:hAnsi="Times New Roman"/>
          <w:i/>
          <w:color w:val="000000"/>
        </w:rPr>
        <w:t>Proceedings of the National Academy of Sciences USA</w:t>
      </w:r>
      <w:r>
        <w:rPr>
          <w:rFonts w:ascii="Times New Roman" w:hAnsi="Times New Roman"/>
          <w:color w:val="000000"/>
        </w:rPr>
        <w:t xml:space="preserve">. 1992;89:10915–10919. </w:t>
      </w:r>
      <w:hyperlink r:id="rId39">
        <w:r>
          <w:t>doi:10.1073/pnas.89.22.10915</w:t>
        </w:r>
      </w:hyperlink>
      <w:r>
        <w:rPr>
          <w:rFonts w:ascii="Times New Roman" w:hAnsi="Times New Roman"/>
          <w:color w:val="000000"/>
        </w:rPr>
        <w:t>.</w:t>
      </w:r>
    </w:p>
    <w:p>
      <w:pPr>
        <w:widowControl/>
        <w:jc w:val="left"/>
      </w:pPr>
      <w:r>
        <w:rPr>
          <w:rFonts w:ascii="Times New Roman" w:hAnsi="Times New Roman"/>
          <w:color w:val="000000"/>
        </w:rPr>
        <w:t xml:space="preserve">21. Cock PJA, Antao T, Chang JT, et al. Biopython: freely available Python tools for computational molecular biology and bioinformatics. </w:t>
      </w:r>
      <w:r>
        <w:rPr>
          <w:rFonts w:ascii="Times New Roman" w:hAnsi="Times New Roman"/>
          <w:i/>
          <w:color w:val="000000"/>
        </w:rPr>
        <w:t>Bioinformatics</w:t>
      </w:r>
      <w:r>
        <w:rPr>
          <w:rFonts w:ascii="Times New Roman" w:hAnsi="Times New Roman"/>
          <w:color w:val="000000"/>
        </w:rPr>
        <w:t xml:space="preserve">. 2009;25:1422–1423. </w:t>
      </w:r>
      <w:hyperlink r:id="rId40">
        <w:r>
          <w:t>doi:10.1093/bioinformatics/btp163</w:t>
        </w:r>
      </w:hyperlink>
      <w:r>
        <w:rPr>
          <w:rFonts w:ascii="Times New Roman" w:hAnsi="Times New Roman"/>
          <w:color w:val="000000"/>
        </w:rPr>
        <w:t>.</w:t>
      </w:r>
    </w:p>
    <w:p>
      <w:pPr>
        <w:widowControl/>
        <w:jc w:val="left"/>
      </w:pPr>
      <w:r>
        <w:rPr>
          <w:rFonts w:ascii="Times New Roman" w:hAnsi="Times New Roman"/>
          <w:color w:val="000000"/>
        </w:rPr>
        <w:t xml:space="preserve">22. Müller CW, Schulz GE. Structure of the complex between adenylate kinase from </w:t>
      </w:r>
      <w:r>
        <w:rPr>
          <w:rFonts w:ascii="Times New Roman" w:hAnsi="Times New Roman"/>
          <w:i/>
          <w:color w:val="000000"/>
        </w:rPr>
        <w:t>Escherichia coli</w:t>
      </w:r>
      <w:r>
        <w:rPr>
          <w:rFonts w:ascii="Times New Roman" w:hAnsi="Times New Roman"/>
          <w:color w:val="000000"/>
        </w:rPr>
        <w:t xml:space="preserve"> and the inhibitor Ap5A refined at 1.9 Å resolution. A model for a catalytic transition state. </w:t>
      </w:r>
      <w:r>
        <w:rPr>
          <w:rFonts w:ascii="Times New Roman" w:hAnsi="Times New Roman"/>
          <w:i/>
          <w:color w:val="000000"/>
        </w:rPr>
        <w:t>Journal of Molecular Biology</w:t>
      </w:r>
      <w:r>
        <w:rPr>
          <w:rFonts w:ascii="Times New Roman" w:hAnsi="Times New Roman"/>
          <w:color w:val="000000"/>
        </w:rPr>
        <w:t xml:space="preserve">. 1992;224:159–177. </w:t>
      </w:r>
      <w:hyperlink r:id="rId41">
        <w:r>
          <w:t>doi:10.1016/0022-2836(92)90582-5</w:t>
        </w:r>
      </w:hyperlink>
      <w:r>
        <w:rPr>
          <w:rFonts w:ascii="Times New Roman" w:hAnsi="Times New Roman"/>
          <w:color w:val="000000"/>
        </w:rPr>
        <w:t>.</w:t>
      </w:r>
    </w:p>
    <w:p>
      <w:pPr>
        <w:widowControl/>
        <w:jc w:val="left"/>
      </w:pPr>
      <w:r>
        <w:rPr>
          <w:rFonts w:ascii="Times New Roman" w:hAnsi="Times New Roman"/>
          <w:color w:val="000000"/>
        </w:rPr>
        <w:t xml:space="preserve">23. Müller CW, Schlauderer GJ, Reinstein J, Schulz GE. Adenylate kinase motions during catalysis: an energetic counterweight balancing substrate binding. </w:t>
      </w:r>
      <w:r>
        <w:rPr>
          <w:rFonts w:ascii="Times New Roman" w:hAnsi="Times New Roman"/>
          <w:i/>
          <w:color w:val="000000"/>
        </w:rPr>
        <w:t>Structure</w:t>
      </w:r>
      <w:r>
        <w:rPr>
          <w:rFonts w:ascii="Times New Roman" w:hAnsi="Times New Roman"/>
          <w:color w:val="000000"/>
        </w:rPr>
        <w:t xml:space="preserve">. 1996;4:147–156. </w:t>
      </w:r>
      <w:hyperlink r:id="rId42">
        <w:r>
          <w:t>doi:10.1016/S0969-2126(96)00018-4</w:t>
        </w:r>
      </w:hyperlink>
      <w:r>
        <w:rPr>
          <w:rFonts w:ascii="Times New Roman" w:hAnsi="Times New Roman"/>
          <w:color w:val="000000"/>
        </w:rPr>
        <w:t>.</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360" w:lineRule="auto"/>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360" w:lineRule="auto" w:before="0"/>
      <w:contextualSpacing/>
    </w:pPr>
    <w:rPr>
      <w:rFonts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20"/>
    </w:pPr>
    <w:rPr>
      <w:rFonts w:ascii="Times New Roman" w:hAnsi="Times New Roman"/>
      <w:b w:val="0"/>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BioinformaticaUDESC/PocketToDynamics" TargetMode="External"/><Relationship Id="rId20" Type="http://schemas.openxmlformats.org/officeDocument/2006/relationships/hyperlink" Target="https://doi.org/10.1016/j.softx.2015.06.001" TargetMode="External"/><Relationship Id="rId21" Type="http://schemas.openxmlformats.org/officeDocument/2006/relationships/hyperlink" Target="https://doi.org/10.1186/s13321-020-00451-6" TargetMode="External"/><Relationship Id="rId22" Type="http://schemas.openxmlformats.org/officeDocument/2006/relationships/hyperlink" Target="https://doi.org/10.1093/bioinformatics/btaa643" TargetMode="External"/><Relationship Id="rId23" Type="http://schemas.openxmlformats.org/officeDocument/2006/relationships/hyperlink" Target="https://doi.org/10.1371/journal.pcbi.1000585" TargetMode="External"/><Relationship Id="rId24" Type="http://schemas.openxmlformats.org/officeDocument/2006/relationships/hyperlink" Target="https://doi.org/10.1021/acs.jcim.1c00203" TargetMode="External"/><Relationship Id="rId25" Type="http://schemas.openxmlformats.org/officeDocument/2006/relationships/hyperlink" Target="https://doi.org/10.1021/acs.jcim.5c02271" TargetMode="External"/><Relationship Id="rId26" Type="http://schemas.openxmlformats.org/officeDocument/2006/relationships/hyperlink" Target="https://doi.org/10.1186/1758-2946-3-33" TargetMode="External"/><Relationship Id="rId27" Type="http://schemas.openxmlformats.org/officeDocument/2006/relationships/hyperlink" Target="https://doi.org/10.5281/zenodo.591637" TargetMode="External"/><Relationship Id="rId28" Type="http://schemas.openxmlformats.org/officeDocument/2006/relationships/hyperlink" Target="https://doi.org/10.1126/sciadv.ado5504" TargetMode="External"/><Relationship Id="rId29" Type="http://schemas.openxmlformats.org/officeDocument/2006/relationships/hyperlink" Target="https://doi.org/10.1093/nar/28.1.235" TargetMode="External"/><Relationship Id="rId30" Type="http://schemas.openxmlformats.org/officeDocument/2006/relationships/hyperlink" Target="https://doi.org/10.1021/acs.jctc.9b00591" TargetMode="External"/><Relationship Id="rId31" Type="http://schemas.openxmlformats.org/officeDocument/2006/relationships/hyperlink" Target="https://doi.org/10.1002/jcc.20035" TargetMode="External"/><Relationship Id="rId32" Type="http://schemas.openxmlformats.org/officeDocument/2006/relationships/hyperlink" Target="https://doi.org/10.1002/(SICI)1096-987X(20000130)21:2%3C132::AID-JCC5%3E3.0.CO;2-P" TargetMode="External"/><Relationship Id="rId33" Type="http://schemas.openxmlformats.org/officeDocument/2006/relationships/hyperlink" Target="https://doi.org/10.1007/s10822-016-9977-1" TargetMode="External"/><Relationship Id="rId34" Type="http://schemas.openxmlformats.org/officeDocument/2006/relationships/hyperlink" Target="https://doi.org/10.1063/1.445869" TargetMode="External"/><Relationship Id="rId35" Type="http://schemas.openxmlformats.org/officeDocument/2006/relationships/hyperlink" Target="https://doi.org/10.1002/jcc.21787" TargetMode="External"/><Relationship Id="rId36" Type="http://schemas.openxmlformats.org/officeDocument/2006/relationships/hyperlink" Target="https://doi.org/10.25080/Majora-629e541a-00e" TargetMode="External"/><Relationship Id="rId37" Type="http://schemas.openxmlformats.org/officeDocument/2006/relationships/hyperlink" Target="https://doi.org/10.1021/ct300418h" TargetMode="External"/><Relationship Id="rId38" Type="http://schemas.openxmlformats.org/officeDocument/2006/relationships/hyperlink" Target="https://doi.org/10.1093/nar/gkac1052" TargetMode="External"/><Relationship Id="rId39" Type="http://schemas.openxmlformats.org/officeDocument/2006/relationships/hyperlink" Target="https://doi.org/10.1073/pnas.89.22.10915" TargetMode="External"/><Relationship Id="rId40" Type="http://schemas.openxmlformats.org/officeDocument/2006/relationships/hyperlink" Target="https://doi.org/10.1093/bioinformatics/btp163" TargetMode="External"/><Relationship Id="rId41" Type="http://schemas.openxmlformats.org/officeDocument/2006/relationships/hyperlink" Target="https://doi.org/10.1016/0022-2836(92)90582-5" TargetMode="External"/><Relationship Id="rId42" Type="http://schemas.openxmlformats.org/officeDocument/2006/relationships/hyperlink" Target="https://doi.org/10.1016/S0969-2126(96)000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dc:creator>
  <cp:keywords/>
  <dc:description>generated by python-docx</dc:description>
  <cp:lastModifiedBy/>
  <cp:revision>1</cp:revision>
  <dcterms:created xsi:type="dcterms:W3CDTF">2013-12-23T23:15:00Z</dcterms:created>
  <dcterms:modified xsi:type="dcterms:W3CDTF">2013-12-23T23:15:00Z</dcterms:modified>
  <cp:category/>
</cp:coreProperties>
</file>