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PocketToDynamics A Reproducible Screening and Molecular Dynamics Workflow With an Evolutionary Conservation Companion</w:t>
      </w:r>
    </w:p>
    <w:p>
      <w:pPr>
        <w:widowControl/>
      </w:pPr>
      <w:r/>
      <w:r>
        <w:rPr>
          <w:b/>
        </w:rPr>
        <w:t>Article type:</w:t>
      </w:r>
      <w:r>
        <w:t xml:space="preserve"> Technology and Code</w:t>
      </w:r>
    </w:p>
    <w:p>
      <w:pPr>
        <w:widowControl/>
      </w:pPr>
      <w:r/>
      <w:r>
        <w:rPr>
          <w:b/>
        </w:rPr>
        <w:t>Authors:</w:t>
      </w:r>
      <w:r>
        <w:t xml:space="preserve"> Juan Philippe Teixeira¹, Daniel Ferreira de Lima Neto¹, Miklos Maximiliano Bajay¹</w:t>
      </w:r>
    </w:p>
    <w:p>
      <w:pPr>
        <w:widowControl/>
      </w:pPr>
      <w:r>
        <w:t>Affiliations:</w:t>
      </w:r>
    </w:p>
    <w:p>
      <w:pPr>
        <w:widowControl/>
      </w:pPr>
      <w:r>
        <w:t>¹ State University of Santa Catarina – Center for Agricultural and Veterinary Sciences – Graduate Program in Biochemistry and Molecular Biology (PMBqBM)</w:t>
      </w:r>
    </w:p>
    <w:p>
      <w:pPr>
        <w:pStyle w:val="Heading1"/>
        <w:widowControl/>
      </w:pPr>
      <w:r>
        <w:t>Abstract</w:t>
      </w:r>
    </w:p>
    <w:p>
      <w:pPr>
        <w:widowControl/>
      </w:pPr>
      <w: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A separate known-site Ap5A pilot recovered the crystallographic ligand pose in 1AKE within 2 Å for the top-ranked pose in all three searches (1.48–1.76 Å); the aligned apo comparison gave larger displacements.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pPr>
      <w:r/>
      <w:r>
        <w:rPr>
          <w:b/>
        </w:rPr>
        <w:t>Keywords:</w:t>
      </w:r>
      <w:r>
        <w:t xml:space="preserve"> evolutionary bioinformatics; sequence conservation; structure mapping; virtual screening; binding pockets; molecular dynamics; reproducibility; provenance.</w:t>
      </w:r>
    </w:p>
    <w:p>
      <w:pPr>
        <w:pStyle w:val="Heading1"/>
        <w:widowControl/>
      </w:pPr>
      <w:r>
        <w:t>Introduction</w:t>
      </w:r>
    </w:p>
    <w:p>
      <w:pPr>
        <w:widowControl/>
      </w:pPr>
      <w: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pPr>
      <w:r>
        <w:t>PocketToDynamics addresses these transitions through a sequence of independently inspectable Python modules coordinated by a common runner. It combines pocket-oriented docking with candidate selection, AMBER-based parameterization, GROMACS simulation [4],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pPr>
      <w: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pPr>
      <w:r>
        <w:t>Evolutionary conservation has already been used to support ligand-pocket prediction. ConCavity, for example, combines conservation estimates with structure-based cavity evidence [6]. PocketToDynamics uses a different and narrower design: its companion profile is mapped after site definition and is not used to discover pockets or rank ligands. The contribution is therefore the documented connection between an auditable sequence set, reference mapping, a structure-defined contact shell, and the broader provenance-aware workflow, rather than a new conservation predictor. This distinction places the evolutionary analysis in context and limits the claims to what the implementation evaluates.</w:t>
      </w:r>
    </w:p>
    <w:p>
      <w:pPr>
        <w:pStyle w:val="Heading1"/>
        <w:widowControl/>
      </w:pPr>
      <w:r>
        <w:t>Software Architecture and Workflow</w:t>
      </w:r>
    </w:p>
    <w:p>
      <w:pPr>
        <w:widowControl/>
      </w:pPr>
      <w:r>
        <w:t xml:space="preserve">The repository separates configuration, inputs, scripts, tests, manifests, logs, intermediate work, and results. Heavy simulation artifacts reside outside the source repository in configured dynamics directories. A canonical registry, </w:t>
      </w:r>
      <w:r>
        <w:rPr>
          <w:rFonts w:ascii="Consolas" w:hAnsi="Consolas"/>
          <w:sz w:val="18"/>
        </w:rPr>
        <w:t>scripts/p2d_steps.py</w:t>
      </w:r>
      <w: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Modules</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Implemented responsibility</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Evidence and scope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M01–M04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Project initialization, input normalization, pocket mapping, deterministic job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fixture and production-route passes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M05A–M05C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Engine preflight, input preparation, docking execution and provenance-aware reuse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docking fixture; not a comparative engine benchmark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M06–M09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Score parsing, ranking, chemical descriptors, candidate gate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rejection of the ethanol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M10A–M10C</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Dynamics jobs, dependency preflight, selected-pose extraction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expected skip; explicit fixture enters at M10C</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M11–M14</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Parameterization, solvent/minimization, equilibration, segmented production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Recorded short computational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M15</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Trajectory reconstruction, periodic-boundary processing and fitting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recorded 21-frame fixture and subsequent artifact recheck</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M16</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Structural metrics and protein–ligand contacts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fixture and numerical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M17</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Single-trajectory MM/GBSA and residue decomposition</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three selected fixture frames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M18</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Cartesian C-alpha principal component analysis (PCA)</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covariance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M19</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PC1/PC2 occupancy landscape and representative structures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discrete histogram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M20</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Per-residue contact and hydrogen-bond occupancy</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matrix/occupancy consistency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M21</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source/environment snapshots, figures, tables and verified archive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Implemented; archive integrity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Companion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Optional sequence conservation profile mapped to structural ligand contacts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405 unique reviewed bacterial enzyme sequences; descriptive single-site analysis; not used to change docking rank</w:t>
            </w:r>
          </w:p>
        </w:tc>
      </w:tr>
    </w:tbl>
    <w:p>
      <w:pPr>
        <w:widowControl/>
        <w:spacing w:after="0"/>
      </w:pPr>
    </w:p>
    <w:p>
      <w:pPr>
        <w:pStyle w:val="Caption"/>
        <w:widowControl/>
      </w:pPr>
      <w:r>
        <w:t>See Figure 1.</w:t>
      </w:r>
    </w:p>
    <w:p>
      <w:pPr>
        <w:widowControl/>
      </w:pPr>
      <w:r>
        <w:t xml:space="preserve">The production and fixture routes have separate status tables and downstream output directories. </w:t>
      </w:r>
      <w:r>
        <w:rPr>
          <w:rFonts w:ascii="Consolas" w:hAnsi="Consolas"/>
          <w:sz w:val="18"/>
        </w:rPr>
        <w:t>PASS</w:t>
      </w:r>
      <w:r>
        <w:t xml:space="preserve"> denotes satisfaction of module-specific software checks, whereas </w:t>
      </w:r>
      <w:r>
        <w:rPr>
          <w:rFonts w:ascii="Consolas" w:hAnsi="Consolas"/>
          <w:sz w:val="18"/>
        </w:rPr>
        <w:t>SKIP</w:t>
      </w:r>
      <w:r>
        <w:t xml:space="preserve"> denotes absence of eligible upstream work. Neither status independently establishes scientific validity. The runner stops on nonzero exits or failed checks, initializes unexecuted entries as </w:t>
      </w:r>
      <w:r>
        <w:rPr>
          <w:rFonts w:ascii="Consolas" w:hAnsi="Consolas"/>
          <w:sz w:val="18"/>
        </w:rPr>
        <w:t>NOT_RUN</w:t>
      </w:r>
      <w:r>
        <w:t xml:space="preserve">, and records commands, durations, exit codes, and log hashes. Missing logs are represented as </w:t>
      </w:r>
      <w:r>
        <w:rPr>
          <w:rFonts w:ascii="Consolas" w:hAnsi="Consolas"/>
          <w:sz w:val="18"/>
        </w:rPr>
        <w:t>UNKNOWN</w:t>
      </w:r>
      <w:r>
        <w:t xml:space="preserve"> rather than silently omitted.</w:t>
      </w:r>
    </w:p>
    <w:p>
      <w:pPr>
        <w:widowControl/>
      </w:pPr>
      <w: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t>Methods</w:t>
      </w:r>
    </w:p>
    <w:p>
      <w:pPr>
        <w:pStyle w:val="Heading2"/>
        <w:widowControl/>
      </w:pPr>
      <w:r>
        <w:t>Input preparation and pocket mapping</w:t>
      </w:r>
    </w:p>
    <w:p>
      <w:pPr>
        <w:widowControl/>
      </w:pPr>
      <w:r>
        <w:t>Input normalization and hashing establish identifiable receptor and ligand representations. M03 invokes ConCavity [6]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pPr>
      <w: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[1].</w:t>
      </w:r>
    </w:p>
    <w:p>
      <w:pPr>
        <w:widowControl/>
      </w:pPr>
      <w: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t>Ranking and candidate eligibility</w:t>
      </w:r>
    </w:p>
    <w:p>
      <w:pPr>
        <w:widowControl/>
      </w:pPr>
      <w: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pPr>
      <w: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t>Selected pose reconstruction and parameterization</w:t>
      </w:r>
    </w:p>
    <w:p>
      <w:pPr>
        <w:widowControl/>
      </w:pPr>
      <w: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pPr>
      <w:r>
        <w:t xml:space="preserve">M11 uses AmberTools </w:t>
      </w:r>
      <w:r>
        <w:rPr>
          <w:rFonts w:ascii="Consolas" w:hAnsi="Consolas"/>
          <w:sz w:val="18"/>
        </w:rPr>
        <w:t>antechamber</w:t>
      </w:r>
      <w:r>
        <w:t xml:space="preserve">, </w:t>
      </w:r>
      <w:r>
        <w:rPr>
          <w:rFonts w:ascii="Consolas" w:hAnsi="Consolas"/>
          <w:sz w:val="18"/>
        </w:rPr>
        <w:t>parmchk2</w:t>
      </w:r>
      <w:r>
        <w:t xml:space="preserve">, and </w:t>
      </w:r>
      <w:r>
        <w:rPr>
          <w:rFonts w:ascii="Consolas" w:hAnsi="Consolas"/>
          <w:sz w:val="18"/>
        </w:rPr>
        <w:t>tleap</w:t>
      </w:r>
      <w:r>
        <w:t>, with ff19SB for protein, GAFF2 for ligand, and AM1-BCC charges. ParmEd converts the resulting system to GROMACS representation. ff19SB is described by Tian et al. [2]. The configured solvent is TIP3P;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t>System setup and simulation</w:t>
      </w:r>
    </w:p>
    <w:p>
      <w:pPr>
        <w:widowControl/>
      </w:pPr>
      <w: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pPr>
      <w: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pPr>
      <w: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t>Trajectory preprocessing and structural analysis</w:t>
      </w:r>
    </w:p>
    <w:p>
      <w:pPr>
        <w:widowControl/>
      </w:pPr>
      <w:r>
        <w:t>M15 generates whole, no-jump, centered, and backbone-fitted trajectory representations. It checks ordered segment intervals, hashes, atom counts, frame times, coordinates, boxes, and coverage. The ligand and protein are centered together, and the whole system is retained. MDAnalysis [5] reads GRO/XTC rather than the installed GROMACS TPR format, which is documented as unsupported by the installed MDAnalysis parser.</w:t>
      </w:r>
    </w:p>
    <w:p>
      <w:pPr>
        <w:widowControl/>
      </w:pPr>
      <w: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Consolas" w:hAnsi="Consolas"/>
          <w:sz w:val="18"/>
        </w:rPr>
        <w:t>hbond-legacy</w:t>
      </w:r>
      <w:r>
        <w:t xml:space="preserve"> using a 0.35 nm donor–acceptor distance and a 30° deviation-from-linear angular cutoff. Metric timestamps must match the trajectory frames. Structural distances use nm, times ps, and surface areas nm².</w:t>
      </w:r>
    </w:p>
    <w:p>
      <w:pPr>
        <w:pStyle w:val="Heading2"/>
        <w:widowControl/>
      </w:pPr>
      <w:r>
        <w:t>Endpoint energetic estimates</w:t>
      </w:r>
    </w:p>
    <w:p>
      <w:pPr>
        <w:widowControl/>
      </w:pPr>
      <w:r>
        <w:t xml:space="preserve">M17 uses AmberTools </w:t>
      </w:r>
      <w:r>
        <w:rPr>
          <w:rFonts w:ascii="Consolas" w:hAnsi="Consolas"/>
          <w:sz w:val="18"/>
        </w:rPr>
        <w:t>ante-MMPBSA.py</w:t>
      </w:r>
      <w:r>
        <w:t xml:space="preserve"> and </w:t>
      </w:r>
      <w:r>
        <w:rPr>
          <w:rFonts w:ascii="Consolas" w:hAnsi="Consolas"/>
          <w:sz w:val="18"/>
        </w:rPr>
        <w:t>MMPBSA.py</w:t>
      </w:r>
      <w:r>
        <w:t xml:space="preserve"> [3] for single-trajectory MM/GBSA with </w:t>
      </w:r>
      <w:r>
        <w:rPr>
          <w:rFonts w:ascii="Consolas" w:hAnsi="Consolas"/>
          <w:sz w:val="18"/>
        </w:rPr>
        <w:t>igb=5</w:t>
      </w:r>
      <w:r>
        <w:t xml:space="preserve">, </w:t>
      </w:r>
      <w:r>
        <w:rPr>
          <w:rFonts w:ascii="Consolas" w:hAnsi="Consolas"/>
          <w:sz w:val="18"/>
        </w:rPr>
        <w:t>mbondi2</w:t>
      </w:r>
      <w: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pPr>
      <w: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t>Essential dynamics and empirical landscape</w:t>
      </w:r>
    </w:p>
    <w:p>
      <w:pPr>
        <w:widowControl/>
      </w:pPr>
      <w: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pPr>
      <w:r>
        <w:t>M19 bins the first two principal-component projections into an equal-width two-dimensional histogram: five bins per axis for the fixture and 30 for the ordinary configuration. For occupied bins, the reported relative landscape is</w:t>
      </w:r>
    </w:p>
    <w:p>
      <w:pPr>
        <w:widowControl/>
        <w:jc w:val="center"/>
      </w:pPr>
      <m:oMath>
        <m:r>
          <m:t>Fᵢ = −RT ln(Pᵢ/Pₘₐₓ)</m:t>
        </m:r>
      </m:oMath>
    </w:p>
    <w:p>
      <w:pPr>
        <w:widowControl/>
      </w:pPr>
      <w: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t>Interaction persistence and packaging</w:t>
      </w:r>
    </w:p>
    <w:p>
      <w:pPr>
        <w:widowControl/>
      </w:pPr>
      <w: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pPr>
      <w: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t>Evolutionary sequence data and site mapping</w:t>
      </w:r>
    </w:p>
    <w:p>
      <w:pPr>
        <w:widowControl/>
      </w:pPr>
      <w:r>
        <w:t>A companion analysis was added to connect sequence evolution with a structure-defined binding site. UniProtKB [9]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pPr>
      <w:r>
        <w:t>Each sequence was aligned globally to P69441 using Biopython PairwiseAligner [10,11] with BLOSUM62 [10],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pPr>
      <w: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t>Known site Ap5A docking pilot</w:t>
      </w:r>
    </w:p>
    <w:p>
      <w:pPr>
        <w:widowControl/>
      </w:pPr>
      <w:r>
        <w:t>A separate pilot used the co-crystallized Ap5A inhibitor (CCD AP5) in 1AKE [7] as a pose reference and the unligated 4AKE structure [8]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pPr>
      <w: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pPr>
      <w: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t>Validation and Testing</w:t>
      </w:r>
    </w:p>
    <w:p>
      <w:pPr>
        <w:widowControl/>
      </w:pPr>
      <w: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Consolas" w:hAnsi="Consolas"/>
          <w:sz w:val="18"/>
        </w:rPr>
        <w:t>docs/AUDIT_2026-10-08.md</w:t>
      </w:r>
      <w:r>
        <w:t>, the two status tables, and the production/fixture audit manifests.</w:t>
      </w:r>
    </w:p>
    <w:p>
      <w:pPr>
        <w:widowControl/>
      </w:pPr>
      <w: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pPr>
      <w: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pPr>
      <w: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t>Results of Fixture Validation and the Ap5A Pilot</w:t>
      </w:r>
    </w:p>
    <w:p>
      <w:pPr>
        <w:pStyle w:val="Heading2"/>
        <w:widowControl/>
      </w:pPr>
      <w:r>
        <w:t>End to end fixture execution</w:t>
      </w:r>
    </w:p>
    <w:p>
      <w:pPr>
        <w:widowControl/>
      </w:pPr>
      <w: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Check</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Recorded observation</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Interpretation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Production-route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12 PASS, 13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Correct downstream abstention after candidate rejection</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Explicit fixture status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24 PASS, 1 SKIP</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M10A remained an expected skip; controlled M10C entry exercised downstream software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Ligand reconstruction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C2H6O; nine atoms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Chemical representation preserved for this fixture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Solvated system</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64,587 atoms; reported residual charge below 10−6 elementary-charge units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Setup and charge consistency for one system</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Minimization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Recorded convergence</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minimization criterion satisfied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Equilibration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NVT and 20 ps NPT</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Short execution and configured QC completed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Production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20 ps in two segments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Segmentation, completion detection and checkpoint recovery exercised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Preprocessed trajectory</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frames; 0–20 ps; 1 ps spacing</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Expected frame/coverage integrity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Structural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Initial RMSD zero; positive SASA/Rg; 428 C-alpha RMSF entries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Numerical and selection consistency</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MM/GBSA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frames at 0, 10 and 20 ps; residue decomposition generated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Endpoint-estimation pipeline executed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PCA</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observations; rank 20</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Sample-limited covariance decomposition and reconstruction checks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Landscape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Three histogram basins; all 21 frames assigned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Complete discrete occupancy accounting</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Interaction analysis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21 × 428 residue-contact matrix</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Frame/residue alignment and bounded occupancies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Reproducibility archive</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Inventory and archived contents hash-verified</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Integrity of the recorded package</w:t>
            </w:r>
          </w:p>
        </w:tc>
      </w:tr>
    </w:tbl>
    <w:p>
      <w:pPr>
        <w:widowControl/>
        <w:spacing w:after="0"/>
      </w:pPr>
    </w:p>
    <w:p>
      <w:pPr>
        <w:widowControl/>
      </w:pPr>
      <w: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t>Descriptive fixture figures</w:t>
      </w:r>
    </w:p>
    <w:p>
      <w:pPr>
        <w:widowControl/>
      </w:pPr>
      <w: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pStyle w:val="Caption"/>
        <w:widowControl/>
      </w:pPr>
      <w:r>
        <w:t>See Figure 2.</w:t>
      </w:r>
    </w:p>
    <w:p>
      <w:pPr>
        <w:pStyle w:val="Heading2"/>
        <w:widowControl/>
      </w:pPr>
      <w:r>
        <w:t>Ap5A pose recovery pilot</w:t>
      </w:r>
    </w:p>
    <w:p>
      <w:pPr>
        <w:widowControl/>
      </w:pPr>
      <w: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Receptor</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Seed</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score (kcal/mol)</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Top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 RMSD (Å)</w:t>
            </w:r>
          </w:p>
        </w:tc>
        <w:tc>
          <w:tcPr>
            <w:tcW w:type="dxa" w:w="1632"/>
            <w:vAlign w:val="center"/>
            <w:tcBorders>
              <w:top w:val="single" w:sz="4" w:color="D9D9D9"/>
              <w:bottom w:val="single" w:sz="4" w:color="D9D9D9"/>
              <w:left w:val="single" w:sz="4" w:color="D9D9D9"/>
              <w:right w:val="single" w:sz="4" w:color="D9D9D9"/>
            </w:tcBorders>
            <w:shd w:fill="E6E6E6"/>
          </w:tcPr>
          <w:p>
            <w:pPr>
              <w:spacing w:after="80" w:before="80"/>
            </w:pPr>
            <w:r>
              <w:rPr>
                <w:b/>
                <w:sz w:val="19"/>
              </w:rPr>
              <w:t>Best-pose rank</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-13.441</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1.457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-13.615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1.482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-13.789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1.762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1.720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-7.658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9.626</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6.324</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9</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20261008</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-7.252</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8.950</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5.505</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3</w:t>
            </w:r>
          </w:p>
        </w:tc>
      </w:tr>
      <w:tr>
        <w:trPr>
          <w:cantSplit/>
        </w:trPr>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4AKE</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20261009</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-8.517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5.947</w:t>
            </w:r>
          </w:p>
        </w:tc>
        <w:tc>
          <w:tcPr>
            <w:tcW w:type="dxa" w:w="1632"/>
            <w:vAlign w:val="center"/>
            <w:tcBorders>
              <w:top w:val="single" w:sz="4" w:color="D9D9D9"/>
              <w:bottom w:val="single" w:sz="4" w:color="D9D9D9"/>
              <w:left w:val="single" w:sz="4" w:color="D9D9D9"/>
              <w:right w:val="single" w:sz="4" w:color="D9D9D9"/>
            </w:tcBorders>
          </w:tcPr>
          <w:p>
            <w:pPr>
              <w:spacing w:after="80" w:before="80"/>
            </w:pPr>
            <w:r>
              <w:rPr>
                <w:b w:val="0"/>
                <w:sz w:val="19"/>
              </w:rPr>
              <w:t>1</w:t>
            </w:r>
          </w:p>
        </w:tc>
      </w:tr>
    </w:tbl>
    <w:p>
      <w:pPr>
        <w:widowControl/>
        <w:spacing w:after="0"/>
      </w:pPr>
    </w:p>
    <w:p>
      <w:pPr>
        <w:widowControl/>
      </w:pPr>
      <w:r>
        <w:t>In the aligned 4AKE comparison,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pStyle w:val="Caption"/>
        <w:widowControl/>
      </w:pPr>
      <w:r>
        <w:t>See Figure 3.</w:t>
      </w:r>
    </w:p>
    <w:p>
      <w:pPr>
        <w:pStyle w:val="Caption"/>
        <w:widowControl/>
      </w:pPr>
      <w:r>
        <w:t>See Figure 4.</w:t>
      </w:r>
    </w:p>
    <w:p>
      <w:pPr>
        <w:pStyle w:val="Heading2"/>
        <w:widowControl/>
      </w:pPr>
      <w:r>
        <w:t>Evolutionary conservation at the Ap5A site</w:t>
      </w:r>
    </w:p>
    <w:p>
      <w:pPr>
        <w:widowControl/>
      </w:pPr>
      <w: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5).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1440"/>
        <w:gridCol w:w="3816"/>
        <w:gridCol w:w="4536"/>
      </w:tblGrid>
      <w:tr>
        <w:trPr>
          <w:cantSplit/>
          <w:tblHeader/>
        </w:trPr>
        <w:tc>
          <w:tcPr>
            <w:tcW w:type="dxa" w:w="1440"/>
            <w:vAlign w:val="center"/>
            <w:tcBorders>
              <w:top w:val="single" w:sz="4" w:color="D9D9D9"/>
              <w:bottom w:val="single" w:sz="4" w:color="D9D9D9"/>
              <w:left w:val="single" w:sz="4" w:color="D9D9D9"/>
              <w:right w:val="single" w:sz="4" w:color="D9D9D9"/>
            </w:tcBorders>
            <w:shd w:fill="E6E6E6"/>
          </w:tcPr>
          <w:p>
            <w:pPr>
              <w:spacing w:after="80" w:before="80"/>
            </w:pPr>
            <w:r>
              <w:rPr>
                <w:b/>
                <w:sz w:val="19"/>
              </w:rPr>
              <w:t>Evolutionary mapping result</w:t>
            </w:r>
          </w:p>
        </w:tc>
        <w:tc>
          <w:tcPr>
            <w:tcW w:type="dxa" w:w="3816"/>
            <w:vAlign w:val="center"/>
            <w:tcBorders>
              <w:top w:val="single" w:sz="4" w:color="D9D9D9"/>
              <w:bottom w:val="single" w:sz="4" w:color="D9D9D9"/>
              <w:left w:val="single" w:sz="4" w:color="D9D9D9"/>
              <w:right w:val="single" w:sz="4" w:color="D9D9D9"/>
            </w:tcBorders>
            <w:shd w:fill="E6E6E6"/>
          </w:tcPr>
          <w:p>
            <w:pPr>
              <w:spacing w:after="80" w:before="80"/>
            </w:pPr>
            <w:r>
              <w:rPr>
                <w:b/>
                <w:sz w:val="19"/>
              </w:rPr>
              <w:t>Value</w:t>
            </w:r>
          </w:p>
        </w:tc>
        <w:tc>
          <w:tcPr>
            <w:tcW w:type="dxa" w:w="4536"/>
            <w:vAlign w:val="center"/>
            <w:tcBorders>
              <w:top w:val="single" w:sz="4" w:color="D9D9D9"/>
              <w:bottom w:val="single" w:sz="4" w:color="D9D9D9"/>
              <w:left w:val="single" w:sz="4" w:color="D9D9D9"/>
              <w:right w:val="single" w:sz="4" w:color="D9D9D9"/>
            </w:tcBorders>
            <w:shd w:fill="E6E6E6"/>
          </w:tcPr>
          <w:p>
            <w:pPr>
              <w:spacing w:after="80" w:before="80"/>
            </w:pPr>
            <w:r>
              <w:rPr>
                <w:b/>
                <w:sz w:val="19"/>
              </w:rPr>
              <w:t>Scope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UniProt reviewed EC 2.7.4.3 records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588</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Query snapshot dated 2026-10-09</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Unique sequences after representative selection</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405</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One entry per species; exact duplicates removed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Alignment and structure mapping</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610 columns; 214 of 214 reference positions</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Reference-guided; no phylogenetic tree</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Ap5A contact shell</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45 residues within 5 Å</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Crystallographic ligand and receptor heavy atoms</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Mean conservation, contact residues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0.788</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Shannon entropy; unweighted</w:t>
            </w:r>
          </w:p>
        </w:tc>
      </w:tr>
      <w:tr>
        <w:trPr>
          <w:cantSplit/>
        </w:trPr>
        <w:tc>
          <w:tcPr>
            <w:tcW w:type="dxa" w:w="1440"/>
            <w:vAlign w:val="center"/>
            <w:tcBorders>
              <w:top w:val="single" w:sz="4" w:color="D9D9D9"/>
              <w:bottom w:val="single" w:sz="4" w:color="D9D9D9"/>
              <w:left w:val="single" w:sz="4" w:color="D9D9D9"/>
              <w:right w:val="single" w:sz="4" w:color="D9D9D9"/>
            </w:tcBorders>
          </w:tcPr>
          <w:p>
            <w:pPr>
              <w:spacing w:after="80" w:before="80"/>
            </w:pPr>
            <w:r>
              <w:rPr>
                <w:b w:val="0"/>
                <w:sz w:val="19"/>
              </w:rPr>
              <w:t>Mean conservation, other mapped residues</w:t>
            </w:r>
          </w:p>
        </w:tc>
        <w:tc>
          <w:tcPr>
            <w:tcW w:type="dxa" w:w="3816"/>
            <w:vAlign w:val="center"/>
            <w:tcBorders>
              <w:top w:val="single" w:sz="4" w:color="D9D9D9"/>
              <w:bottom w:val="single" w:sz="4" w:color="D9D9D9"/>
              <w:left w:val="single" w:sz="4" w:color="D9D9D9"/>
              <w:right w:val="single" w:sz="4" w:color="D9D9D9"/>
            </w:tcBorders>
          </w:tcPr>
          <w:p>
            <w:pPr>
              <w:spacing w:after="80" w:before="80"/>
            </w:pPr>
            <w:r>
              <w:rPr>
                <w:b w:val="0"/>
                <w:sz w:val="19"/>
              </w:rPr>
              <w:t>0.517</w:t>
            </w:r>
          </w:p>
        </w:tc>
        <w:tc>
          <w:tcPr>
            <w:tcW w:type="dxa" w:w="4536"/>
            <w:vAlign w:val="center"/>
            <w:tcBorders>
              <w:top w:val="single" w:sz="4" w:color="D9D9D9"/>
              <w:bottom w:val="single" w:sz="4" w:color="D9D9D9"/>
              <w:left w:val="single" w:sz="4" w:color="D9D9D9"/>
              <w:right w:val="single" w:sz="4" w:color="D9D9D9"/>
            </w:tcBorders>
          </w:tcPr>
          <w:p>
            <w:pPr>
              <w:spacing w:after="80" w:before="80"/>
            </w:pPr>
            <w:r>
              <w:rPr>
                <w:b w:val="0"/>
                <w:sz w:val="19"/>
              </w:rPr>
              <w:t>169 mapped residues; descriptive comparison</w:t>
            </w:r>
          </w:p>
        </w:tc>
      </w:tr>
    </w:tbl>
    <w:p>
      <w:pPr>
        <w:widowControl/>
        <w:spacing w:after="0"/>
      </w:pPr>
    </w:p>
    <w:p>
      <w:pPr>
        <w:pStyle w:val="Caption"/>
        <w:widowControl/>
      </w:pPr>
      <w:r>
        <w:t>See Figure 5.</w:t>
      </w:r>
    </w:p>
    <w:p>
      <w:pPr>
        <w:pStyle w:val="Heading1"/>
        <w:widowControl/>
      </w:pPr>
      <w:r>
        <w:t>Reproducibility</w:t>
      </w:r>
    </w:p>
    <w:p>
      <w:pPr>
        <w:widowControl/>
      </w:pPr>
      <w:r>
        <w:t xml:space="preserve">The software baseline inspected for the original workflow audit was commit </w:t>
      </w:r>
      <w:r>
        <w:rPr>
          <w:rFonts w:ascii="Consolas" w:hAnsi="Consolas"/>
          <w:sz w:val="18"/>
        </w:rPr>
        <w:t>3de57df8a2980207111a8cb71d145eea0aecb382</w:t>
      </w:r>
      <w:r>
        <w:t>. Subsequent commits record publication preparation and the separate Ap5A pilot.</w:t>
      </w:r>
    </w:p>
    <w:p>
      <w:pPr>
        <w:widowControl/>
      </w:pPr>
      <w: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pPr>
      <w:r>
        <w:t>After installing dependencies and configuring executable/output paths, the documented runner commands are:</w:t>
      </w:r>
    </w:p>
    <w:p>
      <w:pPr>
        <w:keepLines/>
        <w:widowControl/>
      </w:pPr>
      <w:r>
        <w:rPr>
          <w:rFonts w:ascii="Consolas" w:hAnsi="Consolas"/>
          <w:sz w:val="18"/>
        </w:rPr>
        <w:t>bash scripts/run_pipeline.sh --profile production</w:t>
        <w:br/>
      </w:r>
      <w:r>
        <w:rPr>
          <w:rFonts w:ascii="Consolas" w:hAnsi="Consolas"/>
          <w:sz w:val="18"/>
        </w:rPr>
        <w:t>bash scripts/run_pipeline.sh --profile fixture</w:t>
      </w:r>
    </w:p>
    <w:p>
      <w:pPr>
        <w:widowControl/>
      </w:pPr>
      <w: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pPr>
      <w: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t>Limitations</w:t>
      </w:r>
    </w:p>
    <w:p>
      <w:pPr>
        <w:widowControl/>
      </w:pPr>
      <w:r>
        <w:t>End-to-end validation currently centers on one receptor/ligand fixture and short trajectories. The additional Ap5A pilot examines one ligand and two conformations of the same protein, at one assumed charge state and one fixed search effort.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pPr>
      <w: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pPr>
      <w: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t>Availability</w:t>
      </w:r>
    </w:p>
    <w:p>
      <w:pPr>
        <w:widowControl/>
      </w:pPr>
      <w:r>
        <w:t xml:space="preserve">The development repository is </w:t>
      </w:r>
      <w:hyperlink r:id="rId10">
        <w:r>
          <w:t>BioinformaticaUDESC/PocketToDynamics</w:t>
        </w:r>
      </w:hyperlink>
      <w:r>
        <w:t>. At manuscript preparation it is private; access depends on repository-owner authorization. No public software release, archival DOI, or software license has been established.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t>Discussion</w:t>
      </w:r>
    </w:p>
    <w:p>
      <w:pPr>
        <w:widowControl/>
      </w:pPr>
      <w:r>
        <w:t>The evidence supports PocketToDynamics as a working integration prototype with explicit provenance and fail/skip semantics. The Ap5A redocking pilot adds evidence that the preparation and search tools can recover a crystallographic pose for one challenging, flexible ligand when the site is supplied. Its three successful searches do not estimate an out-of-sample success rate. The apo comparison illustrates sensitivity to receptor conformation and alignment rather than independently validating binding thermodynamics. Its distinction between a rejected screening candidate and an authorized software fixture is particularly useful: analysis tools can be tested without creating the appearance of scientific candidate success. Hash checks and restart guards also make computational reuse a recorded decision rather than a consequence of file presence.</w:t>
      </w:r>
    </w:p>
    <w:p>
      <w:pPr>
        <w:widowControl/>
      </w:pPr>
      <w:r>
        <w:t>The sequence-to-structure extension demonstrates a narrow evolutionary-bioinformatics use: a reproducible enzyme-family profile is mapped to ligand-contact residues with coverage and alignment provenance retained. Unlike ConCavity [6], it does not combine conservation with cavity geometry to predict or rank binding sites; it maps a post hoc descriptive profile onto a known crystallographic site. Its conservation pattern gives structural context to the Ap5A site but is not an independently validated binding-site predictor. It should be compared with established phylogeny-aware methods and broader held-out protein/ligand benchmarks before proposing conservation-guided ranking. The workflow's breadth should nevertheless be interpreted separately from the depth of validation. Connecting docking, MD, endpoint energetics and PCA does not make their outputs mutually confirming evidence of affinity. Each method introduces assumptions, and downstream processing cannot repair insufficient sampling or unsuitable preparation. The fixture is valuable because it exposes format, topology, frame-selection and packaging errors; it is inadequate for judging biological performance. Likewise, known-site redocking is an easier and narrower problem than prospective pocket discovery and screening against unknown binders.</w:t>
      </w:r>
    </w:p>
    <w:p>
      <w:pPr>
        <w:widowControl/>
      </w:pPr>
      <w:r>
        <w:t>M01–M14 are implemented, and M15–M21 are also implemented and fixture-checked in the inspected repository. They should therefore not be listed as merely planned modules or described as M15 still being under development. Future work concerns broader validation and engineering hardening: independent clean-environment reproduction, richer molecular fixtures, benchmarking against reference datasets, replicated sampling, uncertainty analysis, sensitivity to landscape binning, and more portable configuration. These are proposed extensions, not completed results or claims that additional numbered modules already exist.</w:t>
      </w:r>
    </w:p>
    <w:p>
      <w:pPr>
        <w:pStyle w:val="Heading1"/>
        <w:widowControl/>
      </w:pPr>
      <w:r>
        <w:t>Conclusion</w:t>
      </w:r>
    </w:p>
    <w:p>
      <w:pPr>
        <w:widowControl/>
      </w:pPr>
      <w: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The separate Ap5A pilot adds a narrowly scoped test of pose recovery under a known-site protocol; it does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t>References</w:t>
      </w:r>
    </w:p>
    <w:p>
      <w:pPr>
        <w:widowControl/>
      </w:pPr>
      <w:r>
        <w:t xml:space="preserve">1. Eberhardt J, Santos-Martins D, Tillack AF, Forli S. AutoDock Vina 1.2.0: New Docking Methods, Expanded Force Field, and Python Bindings. </w:t>
      </w:r>
      <w:r>
        <w:rPr>
          <w:i/>
        </w:rPr>
        <w:t>Journal of Chemical Information and Modeling</w:t>
      </w:r>
      <w:r>
        <w:t xml:space="preserve">. 2021. </w:t>
      </w:r>
      <w:hyperlink r:id="rId11">
        <w:r>
          <w:t>doi:10.1021/acs.jcim.1c00203</w:t>
        </w:r>
      </w:hyperlink>
      <w:r>
        <w:t>.</w:t>
      </w:r>
    </w:p>
    <w:p>
      <w:pPr>
        <w:widowControl/>
      </w:pPr>
      <w:r>
        <w:t xml:space="preserve">2. Tian C, et al. ff19SB: Amino-Acid-Specific Protein Backbone Parameters Trained against Quantum Mechanics Energy Surfaces in Solution. </w:t>
      </w:r>
      <w:r>
        <w:rPr>
          <w:i/>
        </w:rPr>
        <w:t>Journal of Chemical Theory and Computation</w:t>
      </w:r>
      <w:r>
        <w:t xml:space="preserve">. 2020. </w:t>
      </w:r>
      <w:hyperlink r:id="rId12">
        <w:r>
          <w:t>doi:10.1021/acs.jctc.9b00591</w:t>
        </w:r>
      </w:hyperlink>
      <w:r>
        <w:t>.</w:t>
      </w:r>
    </w:p>
    <w:p>
      <w:pPr>
        <w:widowControl/>
      </w:pPr>
      <w:r>
        <w:t xml:space="preserve">3. Miller BR III, et al. MMPBSA.py: An Efficient Program for End-State Free Energy Calculations. </w:t>
      </w:r>
      <w:r>
        <w:rPr>
          <w:i/>
        </w:rPr>
        <w:t>Journal of Chemical Theory and Computation</w:t>
      </w:r>
      <w:r>
        <w:t xml:space="preserve">. 2012. </w:t>
      </w:r>
      <w:hyperlink r:id="rId13">
        <w:r>
          <w:t>doi:10.1021/ct300418h</w:t>
        </w:r>
      </w:hyperlink>
      <w:r>
        <w:t>.</w:t>
      </w:r>
    </w:p>
    <w:p>
      <w:pPr>
        <w:widowControl/>
      </w:pPr>
      <w:r>
        <w:t xml:space="preserve">4. Abraham MJ, et al. GROMACS: High performance molecular simulations through multi-level parallelism from laptops to supercomputers. </w:t>
      </w:r>
      <w:r>
        <w:rPr>
          <w:i/>
        </w:rPr>
        <w:t>SoftwareX</w:t>
      </w:r>
      <w:r>
        <w:t xml:space="preserve">. 2015. </w:t>
      </w:r>
      <w:hyperlink r:id="rId14">
        <w:r>
          <w:t>doi:10.1016/j.softx.2015.06.001</w:t>
        </w:r>
      </w:hyperlink>
      <w:r>
        <w:t>.</w:t>
      </w:r>
    </w:p>
    <w:p>
      <w:pPr>
        <w:widowControl/>
      </w:pPr>
      <w:r>
        <w:t xml:space="preserve">5. Michaud-Agrawal N, et al. MDAnalysis: A Toolkit for the Analysis of Molecular Dynamics Simulations. </w:t>
      </w:r>
      <w:r>
        <w:rPr>
          <w:i/>
        </w:rPr>
        <w:t>Journal of Computational Chemistry</w:t>
      </w:r>
      <w:r>
        <w:t xml:space="preserve">. 2011. </w:t>
      </w:r>
      <w:hyperlink r:id="rId15">
        <w:r>
          <w:t>doi:10.1002/jcc.21787</w:t>
        </w:r>
      </w:hyperlink>
      <w:r>
        <w:t>.</w:t>
      </w:r>
    </w:p>
    <w:p>
      <w:pPr>
        <w:widowControl/>
      </w:pPr>
      <w:r>
        <w:t xml:space="preserve">6. Capra JA, et al. Predicting Protein Ligand Binding Sites by Combining Evolutionary Sequence Conservation and 3D Structure. </w:t>
      </w:r>
      <w:r>
        <w:rPr>
          <w:i/>
        </w:rPr>
        <w:t>PLOS Computational Biology</w:t>
      </w:r>
      <w:r>
        <w:t xml:space="preserve">. 2009. </w:t>
      </w:r>
      <w:hyperlink r:id="rId16">
        <w:r>
          <w:t>doi:10.1371/journal.pcbi.1000585</w:t>
        </w:r>
      </w:hyperlink>
      <w:r>
        <w:t>.</w:t>
      </w:r>
    </w:p>
    <w:p>
      <w:pPr>
        <w:widowControl/>
      </w:pPr>
      <w:r>
        <w:t xml:space="preserve">7. Müller CW, Schulz GE. Structure of the complex between adenylate kinase from Escherichia coli and the inhibitor Ap5A refined at 1.9 Å resolution. A model for a catalytic transition state. </w:t>
      </w:r>
      <w:r>
        <w:rPr>
          <w:i/>
        </w:rPr>
        <w:t>Journal of Molecular Biology</w:t>
      </w:r>
      <w:r>
        <w:t xml:space="preserve">. 1992;224:159–177. </w:t>
      </w:r>
      <w:hyperlink r:id="rId17">
        <w:r>
          <w:t>doi:10.1016/0022-2836(92)90582-5</w:t>
        </w:r>
      </w:hyperlink>
      <w:r>
        <w:t>.</w:t>
      </w:r>
    </w:p>
    <w:p>
      <w:pPr>
        <w:widowControl/>
      </w:pPr>
      <w:r>
        <w:t xml:space="preserve">8. Müller CW, Schlauderer GJ, Reinstein J, Schulz GE. Adenylate kinase motions during catalysis: an energetic counterweight balancing substrate binding. </w:t>
      </w:r>
      <w:r>
        <w:rPr>
          <w:i/>
        </w:rPr>
        <w:t>Structure</w:t>
      </w:r>
      <w:r>
        <w:t xml:space="preserve">. 1996;4:147–156. </w:t>
      </w:r>
      <w:hyperlink r:id="rId18">
        <w:r>
          <w:t>doi:10.1016/S0969-2126(96)00018-4</w:t>
        </w:r>
      </w:hyperlink>
      <w:r>
        <w:t>.</w:t>
      </w:r>
    </w:p>
    <w:p>
      <w:pPr>
        <w:widowControl/>
      </w:pPr>
      <w:r>
        <w:t xml:space="preserve">9. The UniProt Consortium. UniProt: the Universal Protein Knowledgebase in 2023. </w:t>
      </w:r>
      <w:r>
        <w:rPr>
          <w:i/>
        </w:rPr>
        <w:t>Nucleic Acids Research</w:t>
      </w:r>
      <w:r>
        <w:t xml:space="preserve">. 2023;51:D523–D531. </w:t>
      </w:r>
      <w:hyperlink r:id="rId19">
        <w:r>
          <w:t>doi:10.1093/nar/gkac1052</w:t>
        </w:r>
      </w:hyperlink>
      <w:r>
        <w:t>.</w:t>
      </w:r>
    </w:p>
    <w:p>
      <w:pPr>
        <w:widowControl/>
      </w:pPr>
      <w:r>
        <w:t xml:space="preserve">10. Henikoff S, Henikoff JG. Amino acid substitution matrices from protein blocks. </w:t>
      </w:r>
      <w:r>
        <w:rPr>
          <w:i/>
        </w:rPr>
        <w:t>Proceedings of the National Academy of Sciences USA</w:t>
      </w:r>
      <w:r>
        <w:t xml:space="preserve">. 1992;89:10915–10919. </w:t>
      </w:r>
      <w:hyperlink r:id="rId20">
        <w:r>
          <w:t>doi:10.1073/pnas.89.22.10915</w:t>
        </w:r>
      </w:hyperlink>
      <w:r>
        <w:t>.</w:t>
      </w:r>
    </w:p>
    <w:p>
      <w:pPr>
        <w:widowControl/>
      </w:pPr>
      <w:r>
        <w:t xml:space="preserve">11. Cock PJA, Antao T, Chang JT, et al. Biopython: freely available Python tools for computational molecular biology and bioinformatics. </w:t>
      </w:r>
      <w:r>
        <w:rPr>
          <w:i/>
        </w:rPr>
        <w:t>Bioinformatics</w:t>
      </w:r>
      <w:r>
        <w:t xml:space="preserve">. 2009;25:1422–1423. </w:t>
      </w:r>
      <w:hyperlink r:id="rId21">
        <w:r>
          <w:t>doi:10.1093/bioinformatics/btp163</w:t>
        </w:r>
      </w:hyperlink>
      <w:r>
        <w:t>.</w:t>
      </w:r>
    </w:p>
    <w:p>
      <w:pPr>
        <w:widowControl/>
      </w:pPr>
      <w:r>
        <w:t xml:space="preserve">The accompanying </w:t>
      </w:r>
      <w:r>
        <w:rPr>
          <w:rFonts w:ascii="Consolas" w:hAnsi="Consolas"/>
          <w:sz w:val="18"/>
        </w:rPr>
        <w:t>manuscript_evidence.md</w:t>
      </w:r>
      <w:r>
        <w:t xml:space="preserve"> maps implementation and validation claims to repository records. Bibliographic coverage should be completed for all third-party methods and software, and author contributions, funding, competing interests and release terms supplied, before journal submission.</w:t>
      </w:r>
    </w:p>
    <w:p>
      <w:pPr>
        <w:widowControl/>
      </w:pPr>
      <w:r>
        <w:br w:type="page"/>
      </w:r>
    </w:p>
    <w:p>
      <w:pPr>
        <w:keepNext/>
        <w:widowControl/>
      </w:pPr>
      <w:r>
        <w:drawing>
          <wp:inline xmlns:a="http://schemas.openxmlformats.org/drawingml/2006/main" xmlns:pic="http://schemas.openxmlformats.org/drawingml/2006/picture">
            <wp:extent cx="6217920" cy="48361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22"/>
                    <a:stretch>
                      <a:fillRect/>
                    </a:stretch>
                  </pic:blipFill>
                  <pic:spPr>
                    <a:xfrm>
                      <a:off x="0" y="0"/>
                      <a:ext cx="6217920" cy="4836160"/>
                    </a:xfrm>
                    <a:prstGeom prst="rect"/>
                  </pic:spPr>
                </pic:pic>
              </a:graphicData>
            </a:graphic>
          </wp:inline>
        </w:drawing>
      </w:r>
    </w:p>
    <w:p>
      <w:pPr>
        <w:pStyle w:val="Caption"/>
        <w:keepLines/>
        <w:widowControl/>
      </w:pPr>
      <w:r>
        <w:t>Figure 1. Logical workflow. The explicit fixture enters at M10C and does not change candidate eligibility. Each stage retains its own checks and provenance.</w:t>
      </w:r>
    </w:p>
    <w:p>
      <w:pPr>
        <w:widowControl/>
      </w:pPr>
      <w:r>
        <w:br w:type="page"/>
      </w:r>
    </w:p>
    <w:p>
      <w:pPr>
        <w:keepNext/>
        <w:widowControl/>
      </w:pPr>
      <w:r>
        <w:drawing>
          <wp:inline xmlns:a="http://schemas.openxmlformats.org/drawingml/2006/main" xmlns:pic="http://schemas.openxmlformats.org/drawingml/2006/picture">
            <wp:extent cx="6217920" cy="497433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23"/>
                    <a:stretch>
                      <a:fillRect/>
                    </a:stretch>
                  </pic:blipFill>
                  <pic:spPr>
                    <a:xfrm>
                      <a:off x="0" y="0"/>
                      <a:ext cx="6217920" cy="4974336"/>
                    </a:xfrm>
                    <a:prstGeom prst="rect"/>
                  </pic:spPr>
                </pic:pic>
              </a:graphicData>
            </a:graphic>
          </wp:inline>
        </w:drawing>
      </w:r>
    </w:p>
    <w:p>
      <w:pPr>
        <w:pStyle w:val="Caption"/>
        <w:keepLines/>
        <w:widowControl/>
      </w:pPr>
      <w: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widowControl/>
      </w:pPr>
      <w:r>
        <w:br w:type="page"/>
      </w:r>
    </w:p>
    <w:p>
      <w:pPr>
        <w:keepNext/>
        <w:widowControl/>
      </w:pPr>
      <w:r>
        <w:drawing>
          <wp:inline xmlns:a="http://schemas.openxmlformats.org/drawingml/2006/main" xmlns:pic="http://schemas.openxmlformats.org/drawingml/2006/picture">
            <wp:extent cx="6217920" cy="5852160"/>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24"/>
                    <a:stretch>
                      <a:fillRect/>
                    </a:stretch>
                  </pic:blipFill>
                  <pic:spPr>
                    <a:xfrm>
                      <a:off x="0" y="0"/>
                      <a:ext cx="6217920" cy="5852160"/>
                    </a:xfrm>
                    <a:prstGeom prst="rect"/>
                  </pic:spPr>
                </pic:pic>
              </a:graphicData>
            </a:graphic>
          </wp:inline>
        </w:drawing>
      </w:r>
    </w:p>
    <w:p>
      <w:pPr>
        <w:pStyle w:val="Caption"/>
        <w:keepLines/>
        <w:widowControl/>
      </w:pPr>
      <w: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widowControl/>
      </w:pPr>
      <w:r>
        <w:br w:type="page"/>
      </w:r>
    </w:p>
    <w:p>
      <w:pPr>
        <w:keepNext/>
        <w:widowControl/>
      </w:pPr>
      <w:r>
        <w:drawing>
          <wp:inline xmlns:a="http://schemas.openxmlformats.org/drawingml/2006/main" xmlns:pic="http://schemas.openxmlformats.org/drawingml/2006/picture">
            <wp:extent cx="6217920" cy="497433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25"/>
                    <a:stretch>
                      <a:fillRect/>
                    </a:stretch>
                  </pic:blipFill>
                  <pic:spPr>
                    <a:xfrm>
                      <a:off x="0" y="0"/>
                      <a:ext cx="6217920" cy="4974336"/>
                    </a:xfrm>
                    <a:prstGeom prst="rect"/>
                  </pic:spPr>
                </pic:pic>
              </a:graphicData>
            </a:graphic>
          </wp:inline>
        </w:drawing>
      </w:r>
    </w:p>
    <w:p>
      <w:pPr>
        <w:pStyle w:val="Caption"/>
        <w:keepLines/>
        <w:widowControl/>
      </w:pPr>
      <w: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widowControl/>
      </w:pPr>
      <w:r>
        <w:br w:type="page"/>
      </w:r>
    </w:p>
    <w:p>
      <w:pPr>
        <w:keepNext/>
        <w:widowControl/>
      </w:pPr>
      <w:r>
        <w:drawing>
          <wp:inline xmlns:a="http://schemas.openxmlformats.org/drawingml/2006/main" xmlns:pic="http://schemas.openxmlformats.org/drawingml/2006/picture">
            <wp:extent cx="6217920" cy="4041648"/>
            <wp:docPr id="5" name="Picture 5"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26"/>
                    <a:stretch>
                      <a:fillRect/>
                    </a:stretch>
                  </pic:blipFill>
                  <pic:spPr>
                    <a:xfrm>
                      <a:off x="0" y="0"/>
                      <a:ext cx="6217920" cy="4041648"/>
                    </a:xfrm>
                    <a:prstGeom prst="rect"/>
                  </pic:spPr>
                </pic:pic>
              </a:graphicData>
            </a:graphic>
          </wp:inline>
        </w:drawing>
      </w:r>
    </w:p>
    <w:p>
      <w:pPr>
        <w:pStyle w:val="Caption"/>
        <w:keepLines/>
        <w:widowControl/>
      </w:pPr>
      <w:r>
        <w:t>Figure 5.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64" w:lineRule="auto"/>
      <w:outlineLvl w:val="0"/>
    </w:pPr>
    <w:rPr>
      <w:rFonts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264" w:lineRule="auto" w:before="0"/>
      <w:contextualSpacing/>
    </w:pPr>
    <w:rPr>
      <w:rFonts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BioinformaticaUDESC/PocketToDynamics" TargetMode="External"/><Relationship Id="rId11" Type="http://schemas.openxmlformats.org/officeDocument/2006/relationships/hyperlink" Target="https://doi.org/10.1021/acs.jcim.1c00203" TargetMode="External"/><Relationship Id="rId12" Type="http://schemas.openxmlformats.org/officeDocument/2006/relationships/hyperlink" Target="https://doi.org/10.1021/acs.jctc.9b00591" TargetMode="External"/><Relationship Id="rId13" Type="http://schemas.openxmlformats.org/officeDocument/2006/relationships/hyperlink" Target="https://doi.org/10.1021/ct300418h" TargetMode="External"/><Relationship Id="rId14" Type="http://schemas.openxmlformats.org/officeDocument/2006/relationships/hyperlink" Target="https://doi.org/10.1016/j.softx.2015.06.001" TargetMode="External"/><Relationship Id="rId15" Type="http://schemas.openxmlformats.org/officeDocument/2006/relationships/hyperlink" Target="https://doi.org/10.1002/jcc.21787" TargetMode="External"/><Relationship Id="rId16" Type="http://schemas.openxmlformats.org/officeDocument/2006/relationships/hyperlink" Target="https://doi.org/10.1371/journal.pcbi.1000585" TargetMode="External"/><Relationship Id="rId17" Type="http://schemas.openxmlformats.org/officeDocument/2006/relationships/hyperlink" Target="https://doi.org/10.1016/0022-2836(92)90582-5" TargetMode="External"/><Relationship Id="rId18" Type="http://schemas.openxmlformats.org/officeDocument/2006/relationships/hyperlink" Target="https://doi.org/10.1016/S0969-2126(96)00018-4" TargetMode="External"/><Relationship Id="rId19" Type="http://schemas.openxmlformats.org/officeDocument/2006/relationships/hyperlink" Target="https://doi.org/10.1093/nar/gkac1052" TargetMode="External"/><Relationship Id="rId20" Type="http://schemas.openxmlformats.org/officeDocument/2006/relationships/hyperlink" Target="https://doi.org/10.1073/pnas.89.22.10915" TargetMode="External"/><Relationship Id="rId21" Type="http://schemas.openxmlformats.org/officeDocument/2006/relationships/hyperlink" Target="https://doi.org/10.1093/bioinformatics/btp163" TargetMode="Externa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dc:creator>
  <cp:keywords/>
  <dc:description>generated by python-docx</dc:description>
  <cp:lastModifiedBy/>
  <cp:revision>1</cp:revision>
  <dcterms:created xsi:type="dcterms:W3CDTF">2013-12-23T23:15:00Z</dcterms:created>
  <dcterms:modified xsi:type="dcterms:W3CDTF">2013-12-23T23:15:00Z</dcterms:modified>
  <cp:category/>
</cp:coreProperties>
</file>