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color w:val="000000"/>
        </w:rPr>
        <w:t>PocketToDynamics A Reproducible Screening and Molecular Dynamics Workflow With an Evolutionary Conservation Companion</w:t>
      </w:r>
    </w:p>
    <w:p>
      <w:pPr>
        <w:widowControl/>
        <w:jc w:val="both"/>
      </w:pPr>
      <w:r>
        <w:rPr>
          <w:rFonts w:ascii="Times New Roman" w:hAnsi="Times New Roman"/>
          <w:color w:val="000000"/>
        </w:rPr>
      </w:r>
      <w:r>
        <w:rPr>
          <w:rFonts w:ascii="Times New Roman" w:hAnsi="Times New Roman"/>
          <w:b/>
          <w:color w:val="000000"/>
        </w:rPr>
        <w:t>Article type:</w:t>
      </w:r>
      <w:r>
        <w:rPr>
          <w:rFonts w:ascii="Times New Roman" w:hAnsi="Times New Roman"/>
          <w:color w:val="000000"/>
        </w:rPr>
        <w:t xml:space="preserve"> Technology and Code</w:t>
      </w:r>
    </w:p>
    <w:p>
      <w:pPr>
        <w:widowControl/>
        <w:jc w:val="both"/>
      </w:pPr>
      <w:r>
        <w:rPr>
          <w:rFonts w:ascii="Times New Roman" w:hAnsi="Times New Roman"/>
          <w:color w:val="000000"/>
        </w:rPr>
      </w:r>
      <w:r>
        <w:rPr>
          <w:rFonts w:ascii="Times New Roman" w:hAnsi="Times New Roman"/>
          <w:b/>
          <w:color w:val="000000"/>
        </w:rPr>
        <w:t>Authors:</w:t>
      </w:r>
      <w:r>
        <w:rPr>
          <w:rFonts w:ascii="Times New Roman" w:hAnsi="Times New Roman"/>
          <w:color w:val="000000"/>
        </w:rPr>
        <w:t xml:space="preserve"> Juan Philippe Teixeira¹, Daniel Ferreira de Lima Neto¹, Miklos Maximiliano Bajay¹</w:t>
      </w:r>
    </w:p>
    <w:p>
      <w:pPr>
        <w:widowControl/>
        <w:jc w:val="both"/>
      </w:pPr>
      <w:r>
        <w:rPr>
          <w:rFonts w:ascii="Times New Roman" w:hAnsi="Times New Roman"/>
          <w:color w:val="000000"/>
        </w:rPr>
        <w:t>Affiliations:</w:t>
      </w:r>
    </w:p>
    <w:p>
      <w:pPr>
        <w:widowControl/>
        <w:jc w:val="both"/>
      </w:pPr>
      <w:r>
        <w:rPr>
          <w:rFonts w:ascii="Times New Roman" w:hAnsi="Times New Roman"/>
          <w:color w:val="000000"/>
        </w:rPr>
        <w:t>¹ State University of Santa Catarina – Center for Agricultural and Veterinary Sciences – Graduate Program in Biochemistry and Molecular Biology (PMBqBM)</w:t>
      </w:r>
    </w:p>
    <w:p>
      <w:pPr>
        <w:pStyle w:val="Heading1"/>
        <w:widowControl/>
      </w:pPr>
      <w:r>
        <w:rPr>
          <w:rFonts w:ascii="Times New Roman" w:hAnsi="Times New Roman"/>
          <w:color w:val="000000"/>
        </w:rPr>
        <w:t>Abstract</w:t>
      </w:r>
    </w:p>
    <w:p>
      <w:pPr>
        <w:widowControl/>
        <w:jc w:val="both"/>
      </w:pPr>
      <w:r>
        <w:rPr>
          <w:rFonts w:ascii="Times New Roman" w:hAnsi="Times New Roman"/>
          <w:color w:val="000000"/>
        </w:rP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jc w:val="both"/>
      </w:pPr>
      <w:r>
        <w:rPr>
          <w:rFonts w:ascii="Times New Roman" w:hAnsi="Times New Roman"/>
          <w:color w:val="000000"/>
        </w:rPr>
      </w:r>
      <w:r>
        <w:rPr>
          <w:rFonts w:ascii="Times New Roman" w:hAnsi="Times New Roman"/>
          <w:b/>
          <w:color w:val="000000"/>
        </w:rPr>
        <w:t>Keywords:</w:t>
      </w:r>
      <w:r>
        <w:rPr>
          <w:rFonts w:ascii="Times New Roman" w:hAnsi="Times New Roman"/>
          <w:color w:val="000000"/>
        </w:rPr>
        <w:t xml:space="preserve"> evolutionary bioinformatics; sequence conservation; structure mapping; virtual screening; binding pockets; molecular dynamics; reproducibility; provenance.</w:t>
      </w:r>
    </w:p>
    <w:p>
      <w:pPr>
        <w:pStyle w:val="Heading1"/>
        <w:widowControl/>
      </w:pPr>
      <w:r>
        <w:rPr>
          <w:rFonts w:ascii="Times New Roman" w:hAnsi="Times New Roman"/>
          <w:color w:val="000000"/>
        </w:rPr>
        <w:t>Introduction</w:t>
      </w:r>
    </w:p>
    <w:p>
      <w:pPr>
        <w:widowControl/>
        <w:jc w:val="both"/>
      </w:pPr>
      <w:r>
        <w:rPr>
          <w:rFonts w:ascii="Times New Roman" w:hAnsi="Times New Roman"/>
          <w:color w:val="000000"/>
        </w:rP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jc w:val="both"/>
      </w:pPr>
      <w:r>
        <w:rPr>
          <w:rFonts w:ascii="Times New Roman" w:hAnsi="Times New Roman"/>
          <w:color w:val="000000"/>
        </w:rP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jc w:val="both"/>
      </w:pPr>
      <w:r>
        <w:rPr>
          <w:rFonts w:ascii="Times New Roman" w:hAnsi="Times New Roman"/>
          <w:color w:val="000000"/>
        </w:rP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jc w:val="both"/>
      </w:pPr>
      <w:r>
        <w:rPr>
          <w:rFonts w:ascii="Times New Roman" w:hAnsi="Times New Roman"/>
          <w:color w:val="000000"/>
        </w:rP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rPr>
          <w:rFonts w:ascii="Times New Roman" w:hAnsi="Times New Roman"/>
          <w:color w:val="000000"/>
        </w:rPr>
        <w:t>Software Architecture and Workflow</w:t>
      </w:r>
    </w:p>
    <w:p>
      <w:pPr>
        <w:widowControl/>
        <w:jc w:val="both"/>
      </w:pPr>
      <w:r>
        <w:rPr>
          <w:rFonts w:ascii="Times New Roman" w:hAnsi="Times New Roman"/>
          <w:color w:val="000000"/>
        </w:rPr>
        <w:t xml:space="preserve">The repository separates configuration, inputs, scripts, tests, manifests, logs, intermediate work, and results. Heavy simulation artifacts reside outside the source repository in configured dynamics directories. A canonical registry, </w:t>
      </w:r>
      <w:r>
        <w:rPr>
          <w:rFonts w:ascii="Times New Roman" w:hAnsi="Times New Roman"/>
          <w:color w:val="000000"/>
          <w:sz w:val="24"/>
        </w:rPr>
        <w:t>scripts/p2d_steps.py</w:t>
      </w:r>
      <w:r>
        <w:rPr>
          <w:rFonts w:ascii="Times New Roman" w:hAnsi="Times New Roman"/>
          <w:color w:val="000000"/>
        </w:rP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Modules</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Implemented responsibility</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Evidence and 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M01–M04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Project initialization, input normalization, pocket mapping, deterministic job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fixture and production-route passes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M05A–M05C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Engine preflight, input preparation, docking execution and provenance-aware reuse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docking fixture; not a comparative engine benchmark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M06–M09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Score parsing, ranking, chemical descriptors, candidate gate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rejection of the ethanol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M10A–M10C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Dynamics jobs, dependency preflight, selected-pose extraction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expected skip; explicit fixture enters at M10C</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M11–M14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Parameterization, solvent/minimization, equilibration, segmented production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short computational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M15</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Trajectory reconstruction, periodic-boundary processing and fitting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recorded 21-frame fixture and subsequent artifact recheck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metrics and protein–ligand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fixture and numerical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M17</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Single-trajectory MM/GBSA and residue decomposition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three selected fixture frames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M18</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Cartesian C-alpha principal component analysis (PCA)</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covariance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PC1/PC2 occupancy landscape and representative structures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discrete histogram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M20</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Per-residue contact and hydrogen-bond occupancy</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matrix/occupancy consistency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M21</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source/environment snapshots, figures, tables and verified archive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archive integrity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Companion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Optional sequence conservation profile mapped to structural 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 unique reviewed bacterial enzyme sequences; descriptive single-site analysis; not used to change docking rank</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jc w:val="both"/>
      </w:pPr>
      <w:r>
        <w:rPr>
          <w:rFonts w:ascii="Times New Roman" w:hAnsi="Times New Roman"/>
          <w:color w:val="000000"/>
        </w:rPr>
        <w:t>Figure 1. Logical workflow. The explicit fixture enters at M10C and does not change candidate eligibility. Each stage retains its own checks and provenance.</w:t>
      </w:r>
    </w:p>
    <w:p>
      <w:pPr>
        <w:widowControl/>
        <w:jc w:val="both"/>
      </w:pPr>
      <w:r>
        <w:rPr>
          <w:rFonts w:ascii="Times New Roman" w:hAnsi="Times New Roman"/>
          <w:color w:val="000000"/>
        </w:rPr>
        <w:t xml:space="preserve">The production and fixture routes have separate status tables and downstream output directories. </w:t>
      </w:r>
      <w:r>
        <w:rPr>
          <w:rFonts w:ascii="Times New Roman" w:hAnsi="Times New Roman"/>
          <w:color w:val="000000"/>
          <w:sz w:val="24"/>
        </w:rPr>
        <w:t>PASS</w:t>
      </w:r>
      <w:r>
        <w:rPr>
          <w:rFonts w:ascii="Times New Roman" w:hAnsi="Times New Roman"/>
          <w:color w:val="000000"/>
        </w:rPr>
        <w:t xml:space="preserve"> denotes satisfaction of module-specific software checks, whereas </w:t>
      </w:r>
      <w:r>
        <w:rPr>
          <w:rFonts w:ascii="Times New Roman" w:hAnsi="Times New Roman"/>
          <w:color w:val="000000"/>
          <w:sz w:val="24"/>
        </w:rPr>
        <w:t>SKIP</w:t>
      </w:r>
      <w:r>
        <w:rPr>
          <w:rFonts w:ascii="Times New Roman" w:hAnsi="Times New Roman"/>
          <w:color w:val="000000"/>
        </w:rPr>
        <w:t xml:space="preserve"> denotes absence of eligible upstream work. Neither status independently establishes scientific validity. The runner stops on nonzero exits or failed checks, initializes unexecuted entries as </w:t>
      </w:r>
      <w:r>
        <w:rPr>
          <w:rFonts w:ascii="Times New Roman" w:hAnsi="Times New Roman"/>
          <w:color w:val="000000"/>
          <w:sz w:val="24"/>
        </w:rPr>
        <w:t>NOT_RUN</w:t>
      </w:r>
      <w:r>
        <w:rPr>
          <w:rFonts w:ascii="Times New Roman" w:hAnsi="Times New Roman"/>
          <w:color w:val="000000"/>
        </w:rPr>
        <w:t xml:space="preserve">, and records commands, durations, exit codes, and log hashes. Missing logs are represented as </w:t>
      </w:r>
      <w:r>
        <w:rPr>
          <w:rFonts w:ascii="Times New Roman" w:hAnsi="Times New Roman"/>
          <w:color w:val="000000"/>
          <w:sz w:val="24"/>
        </w:rPr>
        <w:t>UNKNOWN</w:t>
      </w:r>
      <w:r>
        <w:rPr>
          <w:rFonts w:ascii="Times New Roman" w:hAnsi="Times New Roman"/>
          <w:color w:val="000000"/>
        </w:rPr>
        <w:t xml:space="preserve"> rather than silently omitted.</w:t>
      </w:r>
    </w:p>
    <w:p>
      <w:pPr>
        <w:widowControl/>
        <w:jc w:val="both"/>
      </w:pPr>
      <w:r>
        <w:rPr>
          <w:rFonts w:ascii="Times New Roman" w:hAnsi="Times New Roman"/>
          <w:color w:val="000000"/>
        </w:rP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rPr>
          <w:rFonts w:ascii="Times New Roman" w:hAnsi="Times New Roman"/>
          <w:color w:val="000000"/>
        </w:rPr>
        <w:t>Methods</w:t>
      </w:r>
    </w:p>
    <w:p>
      <w:pPr>
        <w:pStyle w:val="Heading2"/>
        <w:widowControl/>
      </w:pPr>
      <w:r>
        <w:rPr>
          <w:rFonts w:ascii="Times New Roman" w:hAnsi="Times New Roman"/>
          <w:color w:val="000000"/>
        </w:rPr>
        <w:t>Input preparation and pocket mapping</w:t>
      </w:r>
    </w:p>
    <w:p>
      <w:pPr>
        <w:widowControl/>
        <w:jc w:val="both"/>
      </w:pPr>
      <w:r>
        <w:rPr>
          <w:rFonts w:ascii="Times New Roman" w:hAnsi="Times New Roman"/>
          <w:color w:val="000000"/>
        </w:rP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jc w:val="both"/>
      </w:pPr>
      <w:r>
        <w:rPr>
          <w:rFonts w:ascii="Times New Roman" w:hAnsi="Times New Roman"/>
          <w:color w:val="000000"/>
        </w:rP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jc w:val="both"/>
      </w:pPr>
      <w:r>
        <w:rPr>
          <w:rFonts w:ascii="Times New Roman" w:hAnsi="Times New Roman"/>
          <w:color w:val="000000"/>
        </w:rP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rPr>
          <w:rFonts w:ascii="Times New Roman" w:hAnsi="Times New Roman"/>
          <w:color w:val="000000"/>
        </w:rPr>
        <w:t>Additional known site ADP redocking</w:t>
      </w:r>
    </w:p>
    <w:p>
      <w:pPr>
        <w:widowControl/>
        <w:jc w:val="both"/>
      </w:pPr>
      <w:r>
        <w:rPr>
          <w:rFonts w:ascii="Times New Roman" w:hAnsi="Times New Roman"/>
          <w:color w:val="000000"/>
        </w:rP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jc w:val="both"/>
      </w:pPr>
      <w:r>
        <w:rPr>
          <w:rFonts w:ascii="Times New Roman" w:hAnsi="Times New Roman"/>
          <w:color w:val="000000"/>
        </w:rP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Times New Roman" w:hAnsi="Times New Roman"/>
          <w:color w:val="000000"/>
          <w:sz w:val="24"/>
        </w:rPr>
        <w:t>docs/validation/adk_multi/</w:t>
      </w:r>
      <w:r>
        <w:rPr>
          <w:rFonts w:ascii="Times New Roman" w:hAnsi="Times New Roman"/>
          <w:color w:val="000000"/>
        </w:rPr>
        <w:t>.</w:t>
      </w:r>
    </w:p>
    <w:p>
      <w:pPr>
        <w:pStyle w:val="Heading2"/>
        <w:widowControl/>
      </w:pPr>
      <w:r>
        <w:rPr>
          <w:rFonts w:ascii="Times New Roman" w:hAnsi="Times New Roman"/>
          <w:color w:val="000000"/>
        </w:rPr>
        <w:t>Ranking and candidate eligibility</w:t>
      </w:r>
    </w:p>
    <w:p>
      <w:pPr>
        <w:widowControl/>
        <w:jc w:val="both"/>
      </w:pPr>
      <w:r>
        <w:rPr>
          <w:rFonts w:ascii="Times New Roman" w:hAnsi="Times New Roman"/>
          <w:color w:val="000000"/>
        </w:rP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jc w:val="both"/>
      </w:pPr>
      <w:r>
        <w:rPr>
          <w:rFonts w:ascii="Times New Roman" w:hAnsi="Times New Roman"/>
          <w:color w:val="000000"/>
        </w:rP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rPr>
          <w:rFonts w:ascii="Times New Roman" w:hAnsi="Times New Roman"/>
          <w:color w:val="000000"/>
        </w:rPr>
        <w:t>Selected pose reconstruction and parameterization</w:t>
      </w:r>
    </w:p>
    <w:p>
      <w:pPr>
        <w:widowControl/>
        <w:jc w:val="both"/>
      </w:pPr>
      <w:r>
        <w:rPr>
          <w:rFonts w:ascii="Times New Roman" w:hAnsi="Times New Roman"/>
          <w:color w:val="000000"/>
        </w:rP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jc w:val="both"/>
      </w:pPr>
      <w:r>
        <w:rPr>
          <w:rFonts w:ascii="Times New Roman" w:hAnsi="Times New Roman"/>
          <w:color w:val="000000"/>
        </w:rPr>
        <w:t xml:space="preserve">M11 uses AmberTools </w:t>
      </w:r>
      <w:r>
        <w:rPr>
          <w:rFonts w:ascii="Times New Roman" w:hAnsi="Times New Roman"/>
          <w:color w:val="000000"/>
          <w:sz w:val="24"/>
        </w:rPr>
        <w:t>antechamber</w:t>
      </w:r>
      <w:r>
        <w:rPr>
          <w:rFonts w:ascii="Times New Roman" w:hAnsi="Times New Roman"/>
          <w:color w:val="000000"/>
        </w:rPr>
        <w:t xml:space="preserve">, </w:t>
      </w:r>
      <w:r>
        <w:rPr>
          <w:rFonts w:ascii="Times New Roman" w:hAnsi="Times New Roman"/>
          <w:color w:val="000000"/>
          <w:sz w:val="24"/>
        </w:rPr>
        <w:t>parmchk2</w:t>
      </w:r>
      <w:r>
        <w:rPr>
          <w:rFonts w:ascii="Times New Roman" w:hAnsi="Times New Roman"/>
          <w:color w:val="000000"/>
        </w:rPr>
        <w:t xml:space="preserve">, and </w:t>
      </w:r>
      <w:r>
        <w:rPr>
          <w:rFonts w:ascii="Times New Roman" w:hAnsi="Times New Roman"/>
          <w:color w:val="000000"/>
          <w:sz w:val="24"/>
        </w:rPr>
        <w:t>tleap</w:t>
      </w:r>
      <w:r>
        <w:rPr>
          <w:rFonts w:ascii="Times New Roman" w:hAnsi="Times New Roman"/>
          <w:color w:val="000000"/>
        </w:rP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rPr>
          <w:rFonts w:ascii="Times New Roman" w:hAnsi="Times New Roman"/>
          <w:color w:val="000000"/>
        </w:rPr>
        <w:t>System setup and simulation</w:t>
      </w:r>
    </w:p>
    <w:p>
      <w:pPr>
        <w:widowControl/>
        <w:jc w:val="both"/>
      </w:pPr>
      <w:r>
        <w:rPr>
          <w:rFonts w:ascii="Times New Roman" w:hAnsi="Times New Roman"/>
          <w:color w:val="000000"/>
        </w:rP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jc w:val="both"/>
      </w:pPr>
      <w:r>
        <w:rPr>
          <w:rFonts w:ascii="Times New Roman" w:hAnsi="Times New Roman"/>
          <w:color w:val="000000"/>
        </w:rP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jc w:val="both"/>
      </w:pPr>
      <w:r>
        <w:rPr>
          <w:rFonts w:ascii="Times New Roman" w:hAnsi="Times New Roman"/>
          <w:color w:val="000000"/>
        </w:rP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rPr>
          <w:rFonts w:ascii="Times New Roman" w:hAnsi="Times New Roman"/>
          <w:color w:val="000000"/>
        </w:rPr>
        <w:t>Trajectory preprocessing and structural analysis</w:t>
      </w:r>
    </w:p>
    <w:p>
      <w:pPr>
        <w:widowControl/>
        <w:jc w:val="both"/>
      </w:pPr>
      <w:r>
        <w:rPr>
          <w:rFonts w:ascii="Times New Roman" w:hAnsi="Times New Roman"/>
          <w:color w:val="000000"/>
        </w:rP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jc w:val="both"/>
      </w:pPr>
      <w:r>
        <w:rPr>
          <w:rFonts w:ascii="Times New Roman" w:hAnsi="Times New Roman"/>
          <w:color w:val="000000"/>
        </w:rP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Times New Roman" w:hAnsi="Times New Roman"/>
          <w:color w:val="000000"/>
          <w:sz w:val="24"/>
        </w:rPr>
        <w:t>hbond-legacy</w:t>
      </w:r>
      <w:r>
        <w:rPr>
          <w:rFonts w:ascii="Times New Roman" w:hAnsi="Times New Roman"/>
          <w:color w:val="000000"/>
        </w:rPr>
        <w:t xml:space="preserve"> using a 0.35 nm donor–acceptor distance and a 30° deviation-from-linear angular cutoff. Metric timestamps must match the trajectory frames. Structural distances use nm, times ps, and surface areas nm².</w:t>
      </w:r>
    </w:p>
    <w:p>
      <w:pPr>
        <w:pStyle w:val="Heading2"/>
        <w:widowControl/>
      </w:pPr>
      <w:r>
        <w:rPr>
          <w:rFonts w:ascii="Times New Roman" w:hAnsi="Times New Roman"/>
          <w:color w:val="000000"/>
        </w:rPr>
        <w:t>Endpoint energetic estimates</w:t>
      </w:r>
    </w:p>
    <w:p>
      <w:pPr>
        <w:widowControl/>
        <w:jc w:val="both"/>
      </w:pPr>
      <w:r>
        <w:rPr>
          <w:rFonts w:ascii="Times New Roman" w:hAnsi="Times New Roman"/>
          <w:color w:val="000000"/>
        </w:rPr>
        <w:t xml:space="preserve">M17 uses AmberTools </w:t>
      </w:r>
      <w:r>
        <w:rPr>
          <w:rFonts w:ascii="Times New Roman" w:hAnsi="Times New Roman"/>
          <w:color w:val="000000"/>
          <w:sz w:val="24"/>
        </w:rPr>
        <w:t>ante-MMPBSA.py</w:t>
      </w:r>
      <w:r>
        <w:rPr>
          <w:rFonts w:ascii="Times New Roman" w:hAnsi="Times New Roman"/>
          <w:color w:val="000000"/>
        </w:rPr>
        <w:t xml:space="preserve"> and </w:t>
      </w:r>
      <w:r>
        <w:rPr>
          <w:rFonts w:ascii="Times New Roman" w:hAnsi="Times New Roman"/>
          <w:color w:val="000000"/>
          <w:sz w:val="24"/>
        </w:rPr>
        <w:t>MMPBSA.py</w:t>
      </w:r>
      <w:r>
        <w:rPr>
          <w:rFonts w:ascii="Times New Roman" w:hAnsi="Times New Roman"/>
          <w:color w:val="000000"/>
        </w:rPr>
        <w:t xml:space="preserve"> [18] for single-trajectory MM/GBSA with </w:t>
      </w:r>
      <w:r>
        <w:rPr>
          <w:rFonts w:ascii="Times New Roman" w:hAnsi="Times New Roman"/>
          <w:color w:val="000000"/>
          <w:sz w:val="24"/>
        </w:rPr>
        <w:t>igb=5</w:t>
      </w:r>
      <w:r>
        <w:rPr>
          <w:rFonts w:ascii="Times New Roman" w:hAnsi="Times New Roman"/>
          <w:color w:val="000000"/>
        </w:rPr>
        <w:t xml:space="preserve">, </w:t>
      </w:r>
      <w:r>
        <w:rPr>
          <w:rFonts w:ascii="Times New Roman" w:hAnsi="Times New Roman"/>
          <w:color w:val="000000"/>
          <w:sz w:val="24"/>
        </w:rPr>
        <w:t>mbondi2</w:t>
      </w:r>
      <w:r>
        <w:rPr>
          <w:rFonts w:ascii="Times New Roman" w:hAnsi="Times New Roman"/>
          <w:color w:val="000000"/>
        </w:rP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jc w:val="both"/>
      </w:pPr>
      <w:r>
        <w:rPr>
          <w:rFonts w:ascii="Times New Roman" w:hAnsi="Times New Roman"/>
          <w:color w:val="000000"/>
        </w:rP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rPr>
          <w:rFonts w:ascii="Times New Roman" w:hAnsi="Times New Roman"/>
          <w:color w:val="000000"/>
        </w:rPr>
        <w:t>Essential dynamics and empirical landscape</w:t>
      </w:r>
    </w:p>
    <w:p>
      <w:pPr>
        <w:widowControl/>
        <w:jc w:val="both"/>
      </w:pPr>
      <w:r>
        <w:rPr>
          <w:rFonts w:ascii="Times New Roman" w:hAnsi="Times New Roman"/>
          <w:color w:val="000000"/>
        </w:rP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jc w:val="both"/>
      </w:pPr>
      <w:r>
        <w:rPr>
          <w:rFonts w:ascii="Times New Roman" w:hAnsi="Times New Roman"/>
          <w:color w:val="000000"/>
        </w:rPr>
        <w:t>M19 bins the first two principal-component projections into an equal-width two-dimensional histogram: five bins per axis for the fixture and 30 for the ordinary configuration. For occupied bins, the reported relative landscape is</w:t>
      </w:r>
    </w:p>
    <w:p>
      <w:pPr>
        <w:widowControl/>
        <w:jc w:val="both"/>
      </w:pPr>
      <m:oMath>
        <m:r>
          <m:t>Fᵢ = −RT ln(Pᵢ/Pₘₐₓ)</m:t>
        </m:r>
      </m:oMath>
    </w:p>
    <w:p>
      <w:pPr>
        <w:widowControl/>
        <w:jc w:val="both"/>
      </w:pPr>
      <w:r>
        <w:rPr>
          <w:rFonts w:ascii="Times New Roman" w:hAnsi="Times New Roman"/>
          <w:color w:val="000000"/>
        </w:rP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rPr>
          <w:rFonts w:ascii="Times New Roman" w:hAnsi="Times New Roman"/>
          <w:color w:val="000000"/>
        </w:rPr>
        <w:t>Interaction persistence and packaging</w:t>
      </w:r>
    </w:p>
    <w:p>
      <w:pPr>
        <w:widowControl/>
        <w:jc w:val="both"/>
      </w:pPr>
      <w:r>
        <w:rPr>
          <w:rFonts w:ascii="Times New Roman" w:hAnsi="Times New Roman"/>
          <w:color w:val="000000"/>
        </w:rP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jc w:val="both"/>
      </w:pPr>
      <w:r>
        <w:rPr>
          <w:rFonts w:ascii="Times New Roman" w:hAnsi="Times New Roman"/>
          <w:color w:val="000000"/>
        </w:rP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rPr>
          <w:rFonts w:ascii="Times New Roman" w:hAnsi="Times New Roman"/>
          <w:color w:val="000000"/>
        </w:rPr>
        <w:t>Evolutionary sequence data and site mapping</w:t>
      </w:r>
    </w:p>
    <w:p>
      <w:pPr>
        <w:widowControl/>
        <w:jc w:val="both"/>
      </w:pPr>
      <w:r>
        <w:rPr>
          <w:rFonts w:ascii="Times New Roman" w:hAnsi="Times New Roman"/>
          <w:color w:val="000000"/>
        </w:rP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jc w:val="both"/>
      </w:pPr>
      <w:r>
        <w:rPr>
          <w:rFonts w:ascii="Times New Roman" w:hAnsi="Times New Roman"/>
          <w:color w:val="000000"/>
        </w:rP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jc w:val="both"/>
      </w:pPr>
      <w:r>
        <w:rPr>
          <w:rFonts w:ascii="Times New Roman" w:hAnsi="Times New Roman"/>
          <w:color w:val="000000"/>
        </w:rP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rPr>
          <w:rFonts w:ascii="Times New Roman" w:hAnsi="Times New Roman"/>
          <w:color w:val="000000"/>
        </w:rPr>
        <w:t>Known site Ap5A docking pilot</w:t>
      </w:r>
    </w:p>
    <w:p>
      <w:pPr>
        <w:widowControl/>
        <w:jc w:val="both"/>
      </w:pPr>
      <w:r>
        <w:rPr>
          <w:rFonts w:ascii="Times New Roman" w:hAnsi="Times New Roman"/>
          <w:color w:val="000000"/>
        </w:rP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jc w:val="both"/>
      </w:pPr>
      <w:r>
        <w:rPr>
          <w:rFonts w:ascii="Times New Roman" w:hAnsi="Times New Roman"/>
          <w:color w:val="000000"/>
        </w:rP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jc w:val="both"/>
      </w:pPr>
      <w:r>
        <w:rPr>
          <w:rFonts w:ascii="Times New Roman" w:hAnsi="Times New Roman"/>
          <w:color w:val="000000"/>
        </w:rP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rPr>
          <w:rFonts w:ascii="Times New Roman" w:hAnsi="Times New Roman"/>
          <w:color w:val="000000"/>
        </w:rPr>
        <w:t>Validation and Testing</w:t>
      </w:r>
    </w:p>
    <w:p>
      <w:pPr>
        <w:widowControl/>
        <w:jc w:val="both"/>
      </w:pPr>
      <w:r>
        <w:rPr>
          <w:rFonts w:ascii="Times New Roman" w:hAnsi="Times New Roman"/>
          <w:color w:val="000000"/>
        </w:rP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Times New Roman" w:hAnsi="Times New Roman"/>
          <w:color w:val="000000"/>
          <w:sz w:val="24"/>
        </w:rPr>
        <w:t>docs/AUDIT_2026-10-08.md</w:t>
      </w:r>
      <w:r>
        <w:rPr>
          <w:rFonts w:ascii="Times New Roman" w:hAnsi="Times New Roman"/>
          <w:color w:val="000000"/>
        </w:rPr>
        <w:t>, the two status tables, and the production/fixture audit manifests.</w:t>
      </w:r>
    </w:p>
    <w:p>
      <w:pPr>
        <w:widowControl/>
        <w:jc w:val="both"/>
      </w:pPr>
      <w:r>
        <w:rPr>
          <w:rFonts w:ascii="Times New Roman" w:hAnsi="Times New Roman"/>
          <w:color w:val="000000"/>
        </w:rP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jc w:val="both"/>
      </w:pPr>
      <w:r>
        <w:rPr>
          <w:rFonts w:ascii="Times New Roman" w:hAnsi="Times New Roman"/>
          <w:color w:val="000000"/>
        </w:rP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jc w:val="both"/>
      </w:pPr>
      <w:r>
        <w:rPr>
          <w:rFonts w:ascii="Times New Roman" w:hAnsi="Times New Roman"/>
          <w:color w:val="000000"/>
        </w:rP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rPr>
          <w:rFonts w:ascii="Times New Roman" w:hAnsi="Times New Roman"/>
          <w:color w:val="000000"/>
        </w:rPr>
        <w:t>Results of Fixture Validation and the Ap5A and ADP Pilots</w:t>
      </w:r>
    </w:p>
    <w:p>
      <w:pPr>
        <w:pStyle w:val="Heading2"/>
        <w:widowControl/>
      </w:pPr>
      <w:r>
        <w:rPr>
          <w:rFonts w:ascii="Times New Roman" w:hAnsi="Times New Roman"/>
          <w:color w:val="000000"/>
        </w:rPr>
        <w:t>End to end fixture execution</w:t>
      </w:r>
    </w:p>
    <w:p>
      <w:pPr>
        <w:widowControl/>
        <w:jc w:val="both"/>
      </w:pPr>
      <w:r>
        <w:rPr>
          <w:rFonts w:ascii="Times New Roman" w:hAnsi="Times New Roman"/>
          <w:color w:val="000000"/>
        </w:rP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Check</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Recorded observation</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Interpretation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Production-route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12 PASS, 13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Correct downstream abstention after candidate rejection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Explicit fixture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24 PASS, 1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remained an expected skip; controlled M10C entry exercised downstream software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Ligand reconstruction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C2H6O; nine atoms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Chemical representation preserved for this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Solvated system</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64,587 atoms; reported residual charge below 10−6 elementary-charge units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Setup and charge consistency for one system</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Minimization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convergence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minimization criterion satisfied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Equilibration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NVT and 20 ps NPT</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Short execution and configured QC completed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in two segments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Segmentation, completion detection and checkpoint recovery exercised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Preprocessed trajectory</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frames; 0–20 ps; 1 ps spacing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Expected frame/coverage integrity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Initial RMSD zero; positive SASA/Rg; 428 C-alpha RMSF entries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and selection consistency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MM/GBSA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frames at 0, 10 and 20 ps; residue decomposition generated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Endpoint-estimation pipeline executed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observations; rank 20</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Sample-limited covariance decomposition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Landscape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histogram basins; all 21 frames assigned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Complete discrete occupancy accounting</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Interaction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 428 residue-contact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Frame/residue alignment and bounded occupancies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Reproducibility archive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and archived contents hash-verified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Integrity of the recorded package</w:t>
            </w:r>
          </w:p>
        </w:tc>
      </w:tr>
    </w:tbl>
    <w:p>
      <w:pPr>
        <w:widowControl/>
        <w:spacing w:after="0"/>
        <w:jc w:val="both"/>
      </w:pPr>
    </w:p>
    <w:p>
      <w:pPr>
        <w:widowControl/>
        <w:jc w:val="both"/>
      </w:pPr>
      <w:r>
        <w:rPr>
          <w:rFonts w:ascii="Times New Roman" w:hAnsi="Times New Roman"/>
          <w:color w:val="000000"/>
        </w:rP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rPr>
          <w:rFonts w:ascii="Times New Roman" w:hAnsi="Times New Roman"/>
          <w:color w:val="000000"/>
        </w:rPr>
        <w:t>Descriptive fixture figures</w:t>
      </w:r>
    </w:p>
    <w:p>
      <w:pPr>
        <w:widowControl/>
        <w:jc w:val="both"/>
      </w:pPr>
      <w:r>
        <w:rPr>
          <w:rFonts w:ascii="Times New Roman" w:hAnsi="Times New Roman"/>
          <w:color w:val="000000"/>
        </w:rP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rPr>
          <w:rFonts w:ascii="Times New Roman" w:hAnsi="Times New Roman"/>
          <w:color w:val="000000"/>
        </w:rPr>
        <w:t>Ap5A pose recovery pilot</w:t>
      </w:r>
    </w:p>
    <w:p>
      <w:pPr>
        <w:widowControl/>
        <w:jc w:val="both"/>
      </w:pPr>
      <w:r>
        <w:rPr>
          <w:rFonts w:ascii="Times New Roman" w:hAnsi="Times New Roman"/>
          <w:color w:val="000000"/>
        </w:rP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-13.441</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1.457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-13.615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-13.789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1.720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-7.658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9.626</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6.324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-7.252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8.950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5.505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-8.517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bl>
    <w:p>
      <w:pPr>
        <w:widowControl/>
        <w:spacing w:after="0"/>
        <w:jc w:val="both"/>
      </w:pPr>
    </w:p>
    <w:p>
      <w:pPr>
        <w:widowControl/>
        <w:jc w:val="both"/>
      </w:pPr>
      <w:r>
        <w:rPr>
          <w:rFonts w:ascii="Times New Roman" w:hAnsi="Times New Roman"/>
          <w:color w:val="000000"/>
        </w:rP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jc w:val="both"/>
      </w:pPr>
      <w:r>
        <w:rPr>
          <w:rFonts w:ascii="Times New Roman" w:hAnsi="Times New Roman"/>
          <w:color w:val="000000"/>
        </w:rP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rPr>
          <w:rFonts w:ascii="Times New Roman" w:hAnsi="Times New Roman"/>
          <w:color w:val="000000"/>
        </w:rPr>
        <w:t>ADP redocking in two product state sites</w:t>
      </w:r>
    </w:p>
    <w:p>
      <w:pPr>
        <w:widowControl/>
        <w:jc w:val="both"/>
      </w:pPr>
      <w:r>
        <w:rPr>
          <w:rFonts w:ascii="Times New Roman" w:hAnsi="Times New Roman"/>
          <w:color w:val="000000"/>
        </w:rP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−10.525</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0.628</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−11.139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−11.166</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0.637</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jc w:val="both"/>
      </w:pPr>
      <w:r>
        <w:rPr>
          <w:rFonts w:ascii="Times New Roman" w:hAnsi="Times New Roman"/>
          <w:color w:val="000000"/>
        </w:rP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jc w:val="both"/>
      </w:pPr>
      <w:r>
        <w:rPr>
          <w:rFonts w:ascii="Times New Roman" w:hAnsi="Times New Roman"/>
          <w:color w:val="000000"/>
        </w:rP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jc w:val="both"/>
      </w:pPr>
      <w:r>
        <w:rPr>
          <w:rFonts w:ascii="Times New Roman" w:hAnsi="Times New Roman"/>
          <w:color w:val="000000"/>
        </w:rP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jc w:val="both"/>
      </w:pPr>
      <w:r>
        <w:rPr>
          <w:rFonts w:ascii="Times New Roman" w:hAnsi="Times New Roman"/>
          <w:color w:val="000000"/>
        </w:rP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rPr>
          <w:rFonts w:ascii="Times New Roman" w:hAnsi="Times New Roman"/>
          <w:color w:val="000000"/>
        </w:rPr>
        <w:t>Evolutionary conservation at the Ap5A site</w:t>
      </w:r>
    </w:p>
    <w:p>
      <w:pPr>
        <w:widowControl/>
        <w:jc w:val="both"/>
      </w:pPr>
      <w:r>
        <w:rPr>
          <w:rFonts w:ascii="Times New Roman" w:hAnsi="Times New Roman"/>
          <w:color w:val="000000"/>
        </w:rP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Evolutionary mapping result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Value</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UniProt reviewed EC 2.7.4.3 records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Query snapshot dated 2026-10-09</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Unique sequences after representative selection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One entry per species; exact duplicates removed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Alignment and structure mapping</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610 columns; 214 of 214 reference positions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Reference-guided; no phylogenetic tree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Ap5A contact shell</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45 residues within 5 Å</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Crystallographic ligand and receptor heavy atoms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contact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0.788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Shannon entropy; unweighted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other mapped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0.517</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169 mapped residues; descriptive comparison</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jc w:val="both"/>
      </w:pPr>
      <w:r>
        <w:rPr>
          <w:rFonts w:ascii="Times New Roman" w:hAnsi="Times New Roman"/>
          <w:color w:val="000000"/>
        </w:rP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jc w:val="both"/>
      </w:pPr>
      <w:r>
        <w:rPr>
          <w:rFonts w:ascii="Times New Roman" w:hAnsi="Times New Roman"/>
          <w:color w:val="000000"/>
        </w:rP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rPr>
          <w:rFonts w:ascii="Times New Roman" w:hAnsi="Times New Roman"/>
          <w:color w:val="000000"/>
        </w:rPr>
        <w:t>Reproducibility</w:t>
      </w:r>
    </w:p>
    <w:p>
      <w:pPr>
        <w:widowControl/>
        <w:jc w:val="both"/>
      </w:pPr>
      <w:r>
        <w:rPr>
          <w:rFonts w:ascii="Times New Roman" w:hAnsi="Times New Roman"/>
          <w:color w:val="000000"/>
        </w:rPr>
        <w:t xml:space="preserve">The software baseline inspected for the original workflow audit was commit </w:t>
      </w:r>
      <w:r>
        <w:rPr>
          <w:rFonts w:ascii="Times New Roman" w:hAnsi="Times New Roman"/>
          <w:color w:val="000000"/>
          <w:sz w:val="24"/>
        </w:rPr>
        <w:t>3de57df8a2980207111a8cb71d145eea0aecb382</w:t>
      </w:r>
      <w:r>
        <w:rPr>
          <w:rFonts w:ascii="Times New Roman" w:hAnsi="Times New Roman"/>
          <w:color w:val="000000"/>
        </w:rPr>
        <w:t>. Subsequent commits record publication preparation and the separate Ap5A pilot.</w:t>
      </w:r>
    </w:p>
    <w:p>
      <w:pPr>
        <w:widowControl/>
        <w:jc w:val="both"/>
      </w:pPr>
      <w:r>
        <w:rPr>
          <w:rFonts w:ascii="Times New Roman" w:hAnsi="Times New Roman"/>
          <w:color w:val="000000"/>
        </w:rP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jc w:val="both"/>
      </w:pPr>
      <w:r>
        <w:rPr>
          <w:rFonts w:ascii="Times New Roman" w:hAnsi="Times New Roman"/>
          <w:color w:val="000000"/>
        </w:rPr>
        <w:t>After installing dependencies and configuring executable/output paths, the documented runner commands are:</w:t>
      </w:r>
    </w:p>
    <w:p>
      <w:pPr>
        <w:keepLines/>
        <w:widowControl/>
        <w:jc w:val="left"/>
      </w:pPr>
      <w:r>
        <w:rPr>
          <w:rFonts w:ascii="Times New Roman" w:hAnsi="Times New Roman"/>
          <w:color w:val="000000"/>
          <w:sz w:val="24"/>
        </w:rPr>
        <w:t>bash scripts/run_pipeline.sh --profile production</w:t>
        <w:br/>
      </w:r>
      <w:r>
        <w:rPr>
          <w:rFonts w:ascii="Times New Roman" w:hAnsi="Times New Roman"/>
          <w:color w:val="000000"/>
          <w:sz w:val="24"/>
        </w:rPr>
        <w:t>bash scripts/run_pipeline.sh --profile fixture</w:t>
      </w:r>
    </w:p>
    <w:p>
      <w:pPr>
        <w:widowControl/>
        <w:jc w:val="both"/>
      </w:pPr>
      <w:r>
        <w:rPr>
          <w:rFonts w:ascii="Times New Roman" w:hAnsi="Times New Roman"/>
          <w:color w:val="000000"/>
        </w:rP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jc w:val="both"/>
      </w:pPr>
      <w:r>
        <w:rPr>
          <w:rFonts w:ascii="Times New Roman" w:hAnsi="Times New Roman"/>
          <w:color w:val="000000"/>
        </w:rP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rPr>
          <w:rFonts w:ascii="Times New Roman" w:hAnsi="Times New Roman"/>
          <w:color w:val="000000"/>
        </w:rPr>
        <w:t>Limitations</w:t>
      </w:r>
    </w:p>
    <w:p>
      <w:pPr>
        <w:widowControl/>
        <w:jc w:val="both"/>
      </w:pPr>
      <w:r>
        <w:rPr>
          <w:rFonts w:ascii="Times New Roman" w:hAnsi="Times New Roman"/>
          <w:color w:val="000000"/>
        </w:rP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jc w:val="both"/>
      </w:pPr>
      <w:r>
        <w:rPr>
          <w:rFonts w:ascii="Times New Roman" w:hAnsi="Times New Roman"/>
          <w:color w:val="000000"/>
        </w:rP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jc w:val="both"/>
      </w:pPr>
      <w:r>
        <w:rPr>
          <w:rFonts w:ascii="Times New Roman" w:hAnsi="Times New Roman"/>
          <w:color w:val="000000"/>
        </w:rP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rPr>
          <w:rFonts w:ascii="Times New Roman" w:hAnsi="Times New Roman"/>
          <w:color w:val="000000"/>
        </w:rPr>
        <w:t>Availability</w:t>
      </w:r>
    </w:p>
    <w:p>
      <w:pPr>
        <w:widowControl/>
        <w:jc w:val="both"/>
      </w:pPr>
      <w:r>
        <w:rPr>
          <w:rFonts w:ascii="Times New Roman" w:hAnsi="Times New Roman"/>
          <w:color w:val="000000"/>
        </w:rPr>
        <w:t xml:space="preserve">The development repository is </w:t>
      </w:r>
      <w:hyperlink r:id="rId19">
        <w:r>
          <w:t>BioinformaticaUDESC/PocketToDynamics</w:t>
        </w:r>
      </w:hyperlink>
      <w:r>
        <w:rPr>
          <w:rFonts w:ascii="Times New Roman" w:hAnsi="Times New Roman"/>
          <w:color w:val="000000"/>
        </w:rP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rPr>
          <w:rFonts w:ascii="Times New Roman" w:hAnsi="Times New Roman"/>
          <w:color w:val="000000"/>
        </w:rPr>
        <w:t>Discussion</w:t>
      </w:r>
    </w:p>
    <w:p>
      <w:pPr>
        <w:widowControl/>
        <w:jc w:val="both"/>
      </w:pPr>
      <w:r>
        <w:rPr>
          <w:rFonts w:ascii="Times New Roman" w:hAnsi="Times New Roman"/>
          <w:color w:val="000000"/>
        </w:rP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jc w:val="both"/>
      </w:pPr>
      <w:r>
        <w:rPr>
          <w:rFonts w:ascii="Times New Roman" w:hAnsi="Times New Roman"/>
          <w:color w:val="000000"/>
        </w:rP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Existing workflow or component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Published emphasis</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PocketToDynamics distinction in this study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Galaxy molecular-simulation protocols [2]</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Accessible web-based orchestration and reproducible GROMACS simulation histories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Local Python runner with candidate-gate semantics, module-level status records and explicit restart provenance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Enlighten2 [3]</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Containerized protein–ligand MD setup and execution through a GUI</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Pocket-screening-to-MD handoff plus trajectory, MM/GBSA, empirical landscape and archive modules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ConCavity [4]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Sequence conservation plus structural geometry for cavity prediction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Used as an upstream component; the evolutionary profile described here is post-hoc and does not rank sites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AutoDock Vina and Meeko [5–6]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Docking engine and molecular input/output preparation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Integrated as components; this work makes no claim of a new docking score or improved pose accuracy</w:t>
            </w:r>
          </w:p>
        </w:tc>
      </w:tr>
    </w:tbl>
    <w:p>
      <w:pPr>
        <w:widowControl/>
        <w:spacing w:after="0"/>
        <w:jc w:val="both"/>
      </w:pPr>
    </w:p>
    <w:p>
      <w:pPr>
        <w:widowControl/>
        <w:jc w:val="both"/>
      </w:pPr>
      <w:r>
        <w:rPr>
          <w:rFonts w:ascii="Times New Roman" w:hAnsi="Times New Roman"/>
          <w:color w:val="000000"/>
        </w:rP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pStyle w:val="Heading2"/>
        <w:widowControl/>
      </w:pPr>
      <w:r>
        <w:rPr>
          <w:rFonts w:ascii="Times New Roman" w:hAnsi="Times New Roman"/>
          <w:color w:val="000000"/>
        </w:rPr>
        <w:t>Validation layers and provenance semantics</w:t>
      </w:r>
    </w:p>
    <w:p>
      <w:pPr>
        <w:widowControl/>
        <w:jc w:val="both"/>
      </w:pPr>
      <w:r>
        <w:rPr>
          <w:rFonts w:ascii="Times New Roman" w:hAnsi="Times New Roman"/>
          <w:color w:val="000000"/>
        </w:rPr>
        <w:t>The workflow is most usefully evaluated as a state machine with distinct scientific and computational states. A module-level PASS means that its configured checks completed; it does not imply that the ligand is biologically active or that downstream sampling is warranted. SKIP records an unmet dependency or candidate-gate decision, whereas FAIL records an execution or integrity problem. Keeping these outcomes separate makes the production route auditable: an explicit fixture can exercise parameterization and analysis after the gate without changing the rejected production candidate into a hit. This distinction is essential when a workflow is used both for scientific screening and for software regression.</w:t>
      </w:r>
    </w:p>
    <w:p>
      <w:pPr>
        <w:widowControl/>
        <w:jc w:val="both"/>
      </w:pPr>
      <w:r>
        <w:rPr>
          <w:rFonts w:ascii="Times New Roman" w:hAnsi="Times New Roman"/>
          <w:color w:val="000000"/>
        </w:rPr>
        <w:t>Resume behavior further separates output existence from output validity. The docking runner checks input and parameter identity, executable version/content, task identity and pose hashes; segmented MD uses checkpoint and segment provenance. These checks reduce stale-artifact reuse and make recovery from interruption testable. They do not make runs bitwise deterministic across different hardware, parallel reductions, or dependency builds. The evidence therefore supports provenance-aware recovery within the recorded setup, while independent reproducibility still requires a clean installation and rerun by another operator. A public archive should pin software releases and configuration, record reference-data identifiers and licenses, and preserve both successful and failed attempts.</w:t>
      </w:r>
    </w:p>
    <w:p>
      <w:pPr>
        <w:pStyle w:val="Heading2"/>
        <w:widowControl/>
      </w:pPr>
      <w:r>
        <w:rPr>
          <w:rFonts w:ascii="Times New Roman" w:hAnsi="Times New Roman"/>
          <w:color w:val="000000"/>
        </w:rPr>
        <w:t>Molecular representation boundaries and validation depth</w:t>
      </w:r>
    </w:p>
    <w:p>
      <w:pPr>
        <w:widowControl/>
        <w:jc w:val="both"/>
      </w:pPr>
      <w:r>
        <w:rPr>
          <w:rFonts w:ascii="Times New Roman" w:hAnsi="Times New Roman"/>
          <w:color w:val="000000"/>
        </w:rPr>
        <w:t>A central technical boundary is the conversion between chemical graph, docking representation and simulation topology. The ethanol fixture restores the normalized SDF as the chemistry reference while transferring docked heavy-atom coordinates, addressing atom and hydrogen loss in the PDBQT route for that fixture. This identity-preserving handoff is a software safeguard, not a general resolution of protonation or tautomer uncertainty. The ADP pilot makes the remaining modeling decisions visible: charge −3 is assumed, Mg²⁺ and crystallographic waters are removed, and the crystal-defined site sets the search box. Near-crystal pose recovery under those conditions tests coordinate handling and local search; it cannot test metal coordination, blind site detection, or alternative microstates.</w:t>
      </w:r>
    </w:p>
    <w:p>
      <w:pPr>
        <w:widowControl/>
        <w:jc w:val="both"/>
      </w:pPr>
      <w:r>
        <w:rPr>
          <w:rFonts w:ascii="Times New Roman" w:hAnsi="Times New Roman"/>
          <w:color w:val="000000"/>
        </w:rPr>
        <w:t>The MD fixture also illustrates why checks at different levels must not be conflated. Topology/trajectory atom-count agreement, 21-frame time coverage, finite coordinates, PCA reconstruction, histogram accounting and archive hashes test selected implementation invariants. RMSD, contact occupancy, MM/GBSA and PCA landscape all derive from the same short trajectory, so they are not independent confirmations of binding. Three energetic frames cannot estimate a converged endpoint free energy, and a 5 × 5 occupancy histogram cannot identify equilibrium basins from 20 ps of ethanol motion. A stronger scientific validation would pair independent targets and ligands with prespecified pose-recovery and enrichment metrics, vary protonation and receptor preparation, and use replicated longer simulations with convergence diagnostics evaluated on observables not used to tune the protocol.</w:t>
      </w:r>
    </w:p>
    <w:p>
      <w:pPr>
        <w:widowControl/>
        <w:jc w:val="both"/>
      </w:pPr>
      <w:r>
        <w:rPr>
          <w:rFonts w:ascii="Times New Roman" w:hAnsi="Times New Roman"/>
          <w:color w:val="000000"/>
        </w:rP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jc w:val="both"/>
      </w:pPr>
      <w:r>
        <w:rPr>
          <w:rFonts w:ascii="Times New Roman" w:hAnsi="Times New Roman"/>
          <w:color w:val="000000"/>
        </w:rP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jc w:val="both"/>
      </w:pPr>
      <w:r>
        <w:rPr>
          <w:rFonts w:ascii="Times New Roman" w:hAnsi="Times New Roman"/>
          <w:color w:val="000000"/>
        </w:rP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jc w:val="both"/>
      </w:pPr>
      <w:r>
        <w:rPr>
          <w:rFonts w:ascii="Times New Roman" w:hAnsi="Times New Roman"/>
          <w:color w:val="000000"/>
        </w:rP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rPr>
          <w:rFonts w:ascii="Times New Roman" w:hAnsi="Times New Roman"/>
          <w:color w:val="000000"/>
        </w:rPr>
        <w:t>Conclusion</w:t>
      </w:r>
    </w:p>
    <w:p>
      <w:pPr>
        <w:widowControl/>
        <w:jc w:val="both"/>
      </w:pPr>
      <w:r>
        <w:rPr>
          <w:rFonts w:ascii="Times New Roman" w:hAnsi="Times New Roman"/>
          <w:color w:val="000000"/>
        </w:rP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rPr>
          <w:rFonts w:ascii="Times New Roman" w:hAnsi="Times New Roman"/>
          <w:color w:val="000000"/>
        </w:rPr>
        <w:t>References</w:t>
      </w:r>
    </w:p>
    <w:p>
      <w:pPr>
        <w:widowControl/>
        <w:jc w:val="left"/>
      </w:pPr>
      <w:r>
        <w:rPr>
          <w:rFonts w:ascii="Times New Roman" w:hAnsi="Times New Roman"/>
          <w:color w:val="000000"/>
        </w:rPr>
        <w:t xml:space="preserve">1. Abraham MJ, Murtola T, Schulz R, et al. GROMACS: High performance molecular simulations through multi-level parallelism from laptops to supercomputers. </w:t>
      </w:r>
      <w:r>
        <w:rPr>
          <w:rFonts w:ascii="Times New Roman" w:hAnsi="Times New Roman"/>
          <w:i/>
          <w:color w:val="000000"/>
        </w:rPr>
        <w:t>SoftwareX</w:t>
      </w:r>
      <w:r>
        <w:rPr>
          <w:rFonts w:ascii="Times New Roman" w:hAnsi="Times New Roman"/>
          <w:color w:val="000000"/>
        </w:rPr>
        <w:t xml:space="preserve">. 2015;1–2:19–25. </w:t>
      </w:r>
      <w:hyperlink r:id="rId20">
        <w:r>
          <w:t>doi:10.1016/j.softx.2015.06.001</w:t>
        </w:r>
      </w:hyperlink>
      <w:r>
        <w:rPr>
          <w:rFonts w:ascii="Times New Roman" w:hAnsi="Times New Roman"/>
          <w:color w:val="000000"/>
        </w:rPr>
        <w:t>.</w:t>
      </w:r>
    </w:p>
    <w:p>
      <w:pPr>
        <w:widowControl/>
        <w:jc w:val="left"/>
      </w:pPr>
      <w:r>
        <w:rPr>
          <w:rFonts w:ascii="Times New Roman" w:hAnsi="Times New Roman"/>
          <w:color w:val="000000"/>
        </w:rPr>
        <w:t xml:space="preserve">2. Bray SA, Senapathi T, Barnett CB, Grüning BA. Intuitive, reproducible high-throughput molecular dynamics in Galaxy: a tutorial. </w:t>
      </w:r>
      <w:r>
        <w:rPr>
          <w:rFonts w:ascii="Times New Roman" w:hAnsi="Times New Roman"/>
          <w:i/>
          <w:color w:val="000000"/>
        </w:rPr>
        <w:t>Journal of Cheminformatics</w:t>
      </w:r>
      <w:r>
        <w:rPr>
          <w:rFonts w:ascii="Times New Roman" w:hAnsi="Times New Roman"/>
          <w:color w:val="000000"/>
        </w:rPr>
        <w:t xml:space="preserve">. 2020;12:54. </w:t>
      </w:r>
      <w:hyperlink r:id="rId21">
        <w:r>
          <w:t>doi:10.1186/s13321-020-00451-6</w:t>
        </w:r>
      </w:hyperlink>
      <w:r>
        <w:rPr>
          <w:rFonts w:ascii="Times New Roman" w:hAnsi="Times New Roman"/>
          <w:color w:val="000000"/>
        </w:rPr>
        <w:t>.</w:t>
      </w:r>
    </w:p>
    <w:p>
      <w:pPr>
        <w:widowControl/>
        <w:jc w:val="left"/>
      </w:pPr>
      <w:r>
        <w:rPr>
          <w:rFonts w:ascii="Times New Roman" w:hAnsi="Times New Roman"/>
          <w:color w:val="000000"/>
        </w:rPr>
        <w:t xml:space="preserve">3. Zinovjev K, van der Kamp MW. Enlighten2: molecular dynamics simulations of protein–ligand systems made accessible. </w:t>
      </w:r>
      <w:r>
        <w:rPr>
          <w:rFonts w:ascii="Times New Roman" w:hAnsi="Times New Roman"/>
          <w:i/>
          <w:color w:val="000000"/>
        </w:rPr>
        <w:t>Bioinformatics</w:t>
      </w:r>
      <w:r>
        <w:rPr>
          <w:rFonts w:ascii="Times New Roman" w:hAnsi="Times New Roman"/>
          <w:color w:val="000000"/>
        </w:rPr>
        <w:t xml:space="preserve">. 2020;36:5104–5106. </w:t>
      </w:r>
      <w:hyperlink r:id="rId22">
        <w:r>
          <w:t>doi:10.1093/bioinformatics/btaa643</w:t>
        </w:r>
      </w:hyperlink>
      <w:r>
        <w:rPr>
          <w:rFonts w:ascii="Times New Roman" w:hAnsi="Times New Roman"/>
          <w:color w:val="000000"/>
        </w:rPr>
        <w:t>.</w:t>
      </w:r>
    </w:p>
    <w:p>
      <w:pPr>
        <w:widowControl/>
        <w:jc w:val="left"/>
      </w:pPr>
      <w:r>
        <w:rPr>
          <w:rFonts w:ascii="Times New Roman" w:hAnsi="Times New Roman"/>
          <w:color w:val="000000"/>
        </w:rPr>
        <w:t xml:space="preserve">4. Capra JA, Laskowski RA, Thornton JM, Singh M, Funkhouser TA. Predicting Protein Ligand Binding Sites by Combining Evolutionary Sequence Conservation and 3D Structure. </w:t>
      </w:r>
      <w:r>
        <w:rPr>
          <w:rFonts w:ascii="Times New Roman" w:hAnsi="Times New Roman"/>
          <w:i/>
          <w:color w:val="000000"/>
        </w:rPr>
        <w:t>PLOS Computational Biology</w:t>
      </w:r>
      <w:r>
        <w:rPr>
          <w:rFonts w:ascii="Times New Roman" w:hAnsi="Times New Roman"/>
          <w:color w:val="000000"/>
        </w:rPr>
        <w:t xml:space="preserve">. 2009;5:e1000585. </w:t>
      </w:r>
      <w:hyperlink r:id="rId23">
        <w:r>
          <w:t>doi:10.1371/journal.pcbi.1000585</w:t>
        </w:r>
      </w:hyperlink>
      <w:r>
        <w:rPr>
          <w:rFonts w:ascii="Times New Roman" w:hAnsi="Times New Roman"/>
          <w:color w:val="000000"/>
        </w:rPr>
        <w:t>.</w:t>
      </w:r>
    </w:p>
    <w:p>
      <w:pPr>
        <w:widowControl/>
        <w:jc w:val="left"/>
      </w:pPr>
      <w:r>
        <w:rPr>
          <w:rFonts w:ascii="Times New Roman" w:hAnsi="Times New Roman"/>
          <w:color w:val="000000"/>
        </w:rPr>
        <w:t xml:space="preserve">5. Eberhardt J, Santos-Martins D, Tillack AF, Forli S. AutoDock Vina 1.2.0: New Docking Methods, Expanded Force Field, and Python Bindings. </w:t>
      </w:r>
      <w:r>
        <w:rPr>
          <w:rFonts w:ascii="Times New Roman" w:hAnsi="Times New Roman"/>
          <w:i/>
          <w:color w:val="000000"/>
        </w:rPr>
        <w:t>Journal of Chemical Information and Modeling</w:t>
      </w:r>
      <w:r>
        <w:rPr>
          <w:rFonts w:ascii="Times New Roman" w:hAnsi="Times New Roman"/>
          <w:color w:val="000000"/>
        </w:rPr>
        <w:t xml:space="preserve">. 2021;61:3891–3898. </w:t>
      </w:r>
      <w:hyperlink r:id="rId24">
        <w:r>
          <w:t>doi:10.1021/acs.jcim.1c00203</w:t>
        </w:r>
      </w:hyperlink>
      <w:r>
        <w:rPr>
          <w:rFonts w:ascii="Times New Roman" w:hAnsi="Times New Roman"/>
          <w:color w:val="000000"/>
        </w:rPr>
        <w:t>.</w:t>
      </w:r>
    </w:p>
    <w:p>
      <w:pPr>
        <w:widowControl/>
        <w:jc w:val="left"/>
      </w:pPr>
      <w:r>
        <w:rPr>
          <w:rFonts w:ascii="Times New Roman" w:hAnsi="Times New Roman"/>
          <w:color w:val="000000"/>
        </w:rPr>
        <w:t xml:space="preserve">6. Santos-Martins D, He Y, Eberhardt J, et al. Meeko: Molecule Parametrization and Software Interoperability for Docking and Beyond. </w:t>
      </w:r>
      <w:r>
        <w:rPr>
          <w:rFonts w:ascii="Times New Roman" w:hAnsi="Times New Roman"/>
          <w:i/>
          <w:color w:val="000000"/>
        </w:rPr>
        <w:t>Journal of Chemical Information and Modeling</w:t>
      </w:r>
      <w:r>
        <w:rPr>
          <w:rFonts w:ascii="Times New Roman" w:hAnsi="Times New Roman"/>
          <w:color w:val="000000"/>
        </w:rPr>
        <w:t xml:space="preserve">. 2025;65:13045–13050. </w:t>
      </w:r>
      <w:hyperlink r:id="rId25">
        <w:r>
          <w:t>doi:10.1021/acs.jcim.5c02271</w:t>
        </w:r>
      </w:hyperlink>
      <w:r>
        <w:rPr>
          <w:rFonts w:ascii="Times New Roman" w:hAnsi="Times New Roman"/>
          <w:color w:val="000000"/>
        </w:rPr>
        <w:t>.</w:t>
      </w:r>
    </w:p>
    <w:p>
      <w:pPr>
        <w:widowControl/>
        <w:jc w:val="left"/>
      </w:pPr>
      <w:r>
        <w:rPr>
          <w:rFonts w:ascii="Times New Roman" w:hAnsi="Times New Roman"/>
          <w:color w:val="000000"/>
        </w:rPr>
        <w:t xml:space="preserve">7. O’Boyle NM, Banck M, James CA, Morley C, Vandermeersch T, Hutchison GR. Open Babel: An open chemical toolbox. </w:t>
      </w:r>
      <w:r>
        <w:rPr>
          <w:rFonts w:ascii="Times New Roman" w:hAnsi="Times New Roman"/>
          <w:i/>
          <w:color w:val="000000"/>
        </w:rPr>
        <w:t>Journal of Cheminformatics</w:t>
      </w:r>
      <w:r>
        <w:rPr>
          <w:rFonts w:ascii="Times New Roman" w:hAnsi="Times New Roman"/>
          <w:color w:val="000000"/>
        </w:rPr>
        <w:t xml:space="preserve">. 2011;3:33. </w:t>
      </w:r>
      <w:hyperlink r:id="rId26">
        <w:r>
          <w:t>doi:10.1186/1758-2946-3-33</w:t>
        </w:r>
      </w:hyperlink>
      <w:r>
        <w:rPr>
          <w:rFonts w:ascii="Times New Roman" w:hAnsi="Times New Roman"/>
          <w:color w:val="000000"/>
        </w:rPr>
        <w:t>.</w:t>
      </w:r>
    </w:p>
    <w:p>
      <w:pPr>
        <w:widowControl/>
        <w:jc w:val="left"/>
      </w:pPr>
      <w:r>
        <w:rPr>
          <w:rFonts w:ascii="Times New Roman" w:hAnsi="Times New Roman"/>
          <w:color w:val="000000"/>
        </w:rPr>
        <w:t xml:space="preserve">8. RDKit: Open-source cheminformatics. Zenodo release record. </w:t>
      </w:r>
      <w:hyperlink r:id="rId27">
        <w:r>
          <w:t>doi:10.5281/zenodo.591637</w:t>
        </w:r>
      </w:hyperlink>
      <w:r>
        <w:rPr>
          <w:rFonts w:ascii="Times New Roman" w:hAnsi="Times New Roman"/>
          <w:color w:val="000000"/>
        </w:rPr>
        <w:t>.</w:t>
      </w:r>
    </w:p>
    <w:p>
      <w:pPr>
        <w:widowControl/>
        <w:jc w:val="left"/>
      </w:pPr>
      <w:r>
        <w:rPr>
          <w:rFonts w:ascii="Times New Roman" w:hAnsi="Times New Roman"/>
          <w:color w:val="000000"/>
        </w:rPr>
        <w:t xml:space="preserve">9. Nam K, Thodika ART, Tischlik S, et al. Magnesium induced structural reorganization in the active site of adenylate kinase. </w:t>
      </w:r>
      <w:r>
        <w:rPr>
          <w:rFonts w:ascii="Times New Roman" w:hAnsi="Times New Roman"/>
          <w:i/>
          <w:color w:val="000000"/>
        </w:rPr>
        <w:t>Science Advances</w:t>
      </w:r>
      <w:r>
        <w:rPr>
          <w:rFonts w:ascii="Times New Roman" w:hAnsi="Times New Roman"/>
          <w:color w:val="000000"/>
        </w:rPr>
        <w:t xml:space="preserve">. 2024;10:eado5504. </w:t>
      </w:r>
      <w:hyperlink r:id="rId28">
        <w:r>
          <w:t>doi:10.1126/sciadv.ado5504</w:t>
        </w:r>
      </w:hyperlink>
      <w:r>
        <w:rPr>
          <w:rFonts w:ascii="Times New Roman" w:hAnsi="Times New Roman"/>
          <w:color w:val="000000"/>
        </w:rPr>
        <w:t>.</w:t>
      </w:r>
    </w:p>
    <w:p>
      <w:pPr>
        <w:widowControl/>
        <w:jc w:val="left"/>
      </w:pPr>
      <w:r>
        <w:rPr>
          <w:rFonts w:ascii="Times New Roman" w:hAnsi="Times New Roman"/>
          <w:color w:val="000000"/>
        </w:rPr>
        <w:t xml:space="preserve">10. Berman HM, Westbrook J, Feng Z, et al. The Protein Data Bank. </w:t>
      </w:r>
      <w:r>
        <w:rPr>
          <w:rFonts w:ascii="Times New Roman" w:hAnsi="Times New Roman"/>
          <w:i/>
          <w:color w:val="000000"/>
        </w:rPr>
        <w:t>Nucleic Acids Research</w:t>
      </w:r>
      <w:r>
        <w:rPr>
          <w:rFonts w:ascii="Times New Roman" w:hAnsi="Times New Roman"/>
          <w:color w:val="000000"/>
        </w:rPr>
        <w:t xml:space="preserve">. 2000;28:235–242. </w:t>
      </w:r>
      <w:hyperlink r:id="rId29">
        <w:r>
          <w:t>doi:10.1093/nar/28.1.235</w:t>
        </w:r>
      </w:hyperlink>
      <w:r>
        <w:rPr>
          <w:rFonts w:ascii="Times New Roman" w:hAnsi="Times New Roman"/>
          <w:color w:val="000000"/>
        </w:rPr>
        <w:t>.</w:t>
      </w:r>
    </w:p>
    <w:p>
      <w:pPr>
        <w:widowControl/>
        <w:jc w:val="left"/>
      </w:pPr>
      <w:r>
        <w:rPr>
          <w:rFonts w:ascii="Times New Roman" w:hAnsi="Times New Roman"/>
          <w:color w:val="000000"/>
        </w:rPr>
        <w:t xml:space="preserve">11. Tian C, Kasavajhala K, Wang Y, et al. ff19SB: Amino-Acid-Specific Protein Backbone Parameters Trained against Quantum Mechanics Energy Surfaces in Solution. </w:t>
      </w:r>
      <w:r>
        <w:rPr>
          <w:rFonts w:ascii="Times New Roman" w:hAnsi="Times New Roman"/>
          <w:i/>
          <w:color w:val="000000"/>
        </w:rPr>
        <w:t>Journal of Chemical Theory and Computation</w:t>
      </w:r>
      <w:r>
        <w:rPr>
          <w:rFonts w:ascii="Times New Roman" w:hAnsi="Times New Roman"/>
          <w:color w:val="000000"/>
        </w:rPr>
        <w:t xml:space="preserve">. 2020;16:528–552. </w:t>
      </w:r>
      <w:hyperlink r:id="rId30">
        <w:r>
          <w:t>doi:10.1021/acs.jctc.9b00591</w:t>
        </w:r>
      </w:hyperlink>
      <w:r>
        <w:rPr>
          <w:rFonts w:ascii="Times New Roman" w:hAnsi="Times New Roman"/>
          <w:color w:val="000000"/>
        </w:rPr>
        <w:t>.</w:t>
      </w:r>
    </w:p>
    <w:p>
      <w:pPr>
        <w:widowControl/>
        <w:jc w:val="left"/>
      </w:pPr>
      <w:r>
        <w:rPr>
          <w:rFonts w:ascii="Times New Roman" w:hAnsi="Times New Roman"/>
          <w:color w:val="000000"/>
        </w:rPr>
        <w:t xml:space="preserve">12. Wang J, Wolf RM, Caldwell JW, Kollman PA, Case DA. Development and testing of a general amber force field. </w:t>
      </w:r>
      <w:r>
        <w:rPr>
          <w:rFonts w:ascii="Times New Roman" w:hAnsi="Times New Roman"/>
          <w:i/>
          <w:color w:val="000000"/>
        </w:rPr>
        <w:t>Journal of Computational Chemistry</w:t>
      </w:r>
      <w:r>
        <w:rPr>
          <w:rFonts w:ascii="Times New Roman" w:hAnsi="Times New Roman"/>
          <w:color w:val="000000"/>
        </w:rPr>
        <w:t xml:space="preserve">. 2004;25:1157–1174. </w:t>
      </w:r>
      <w:hyperlink r:id="rId31">
        <w:r>
          <w:t>doi:10.1002/jcc.20035</w:t>
        </w:r>
      </w:hyperlink>
      <w:r>
        <w:rPr>
          <w:rFonts w:ascii="Times New Roman" w:hAnsi="Times New Roman"/>
          <w:color w:val="000000"/>
        </w:rPr>
        <w:t>.</w:t>
      </w:r>
    </w:p>
    <w:p>
      <w:pPr>
        <w:widowControl/>
        <w:jc w:val="left"/>
      </w:pPr>
      <w:r>
        <w:rPr>
          <w:rFonts w:ascii="Times New Roman" w:hAnsi="Times New Roman"/>
          <w:color w:val="000000"/>
        </w:rPr>
        <w:t xml:space="preserve">13. Jakalian A, Bush BL, Jack DB, Bayly CI. Fast, efficient generation of high-quality atomic charges. AM1-BCC model: I. Method. </w:t>
      </w:r>
      <w:r>
        <w:rPr>
          <w:rFonts w:ascii="Times New Roman" w:hAnsi="Times New Roman"/>
          <w:i/>
          <w:color w:val="000000"/>
        </w:rPr>
        <w:t>Journal of Computational Chemistry</w:t>
      </w:r>
      <w:r>
        <w:rPr>
          <w:rFonts w:ascii="Times New Roman" w:hAnsi="Times New Roman"/>
          <w:color w:val="000000"/>
        </w:rPr>
        <w:t xml:space="preserve">. 2000;21:132–146. </w:t>
      </w:r>
      <w:hyperlink r:id="rId32">
        <w:r>
          <w:t>doi:10.1002/(SICI)1096-987X(20000130)21:2&lt;132::AID-JCC5&gt;3.0.CO;2-P</w:t>
        </w:r>
      </w:hyperlink>
      <w:r>
        <w:rPr>
          <w:rFonts w:ascii="Times New Roman" w:hAnsi="Times New Roman"/>
          <w:color w:val="000000"/>
        </w:rPr>
        <w:t>.</w:t>
      </w:r>
    </w:p>
    <w:p>
      <w:pPr>
        <w:widowControl/>
        <w:jc w:val="left"/>
      </w:pPr>
      <w:r>
        <w:rPr>
          <w:rFonts w:ascii="Times New Roman" w:hAnsi="Times New Roman"/>
          <w:color w:val="000000"/>
        </w:rPr>
        <w:t xml:space="preserve">14. Swails JM, Hernandez C, Mobley DL, Nguyen H, Wang L-P, Janowski P. ParmEd: Cross-program parameter and topology file editor and molecular mechanical simulator engine. </w:t>
      </w:r>
      <w:r>
        <w:rPr>
          <w:rFonts w:ascii="Times New Roman" w:hAnsi="Times New Roman"/>
          <w:i/>
          <w:color w:val="000000"/>
        </w:rPr>
        <w:t>Journal of Computer-Aided Molecular Design</w:t>
      </w:r>
      <w:r>
        <w:rPr>
          <w:rFonts w:ascii="Times New Roman" w:hAnsi="Times New Roman"/>
          <w:color w:val="000000"/>
        </w:rPr>
        <w:t xml:space="preserve">. 2016;30:1049–1051. </w:t>
      </w:r>
      <w:hyperlink r:id="rId33">
        <w:r>
          <w:t>doi:10.1007/s10822-016-9977-1</w:t>
        </w:r>
      </w:hyperlink>
      <w:r>
        <w:rPr>
          <w:rFonts w:ascii="Times New Roman" w:hAnsi="Times New Roman"/>
          <w:color w:val="000000"/>
        </w:rPr>
        <w:t>.</w:t>
      </w:r>
    </w:p>
    <w:p>
      <w:pPr>
        <w:widowControl/>
        <w:jc w:val="left"/>
      </w:pPr>
      <w:r>
        <w:rPr>
          <w:rFonts w:ascii="Times New Roman" w:hAnsi="Times New Roman"/>
          <w:color w:val="000000"/>
        </w:rPr>
        <w:t xml:space="preserve">15. Jorgensen WL, Chandrasekhar J, Madura JD, Impey RW, Klein ML. Comparison of simple potential functions for simulating liquid water. </w:t>
      </w:r>
      <w:r>
        <w:rPr>
          <w:rFonts w:ascii="Times New Roman" w:hAnsi="Times New Roman"/>
          <w:i/>
          <w:color w:val="000000"/>
        </w:rPr>
        <w:t>The Journal of Chemical Physics</w:t>
      </w:r>
      <w:r>
        <w:rPr>
          <w:rFonts w:ascii="Times New Roman" w:hAnsi="Times New Roman"/>
          <w:color w:val="000000"/>
        </w:rPr>
        <w:t xml:space="preserve">. 1983;79:926–935. </w:t>
      </w:r>
      <w:hyperlink r:id="rId34">
        <w:r>
          <w:t>doi:10.1063/1.445869</w:t>
        </w:r>
      </w:hyperlink>
      <w:r>
        <w:rPr>
          <w:rFonts w:ascii="Times New Roman" w:hAnsi="Times New Roman"/>
          <w:color w:val="000000"/>
        </w:rPr>
        <w:t>.</w:t>
      </w:r>
    </w:p>
    <w:p>
      <w:pPr>
        <w:widowControl/>
        <w:jc w:val="left"/>
      </w:pPr>
      <w:r>
        <w:rPr>
          <w:rFonts w:ascii="Times New Roman" w:hAnsi="Times New Roman"/>
          <w:color w:val="000000"/>
        </w:rPr>
        <w:t xml:space="preserve">16. Michaud-Agrawal N, Denning EJ, Woolf TB, Beckstein O. MDAnalysis: A Toolkit for the Analysis of Molecular Dynamics Simulations. </w:t>
      </w:r>
      <w:r>
        <w:rPr>
          <w:rFonts w:ascii="Times New Roman" w:hAnsi="Times New Roman"/>
          <w:i/>
          <w:color w:val="000000"/>
        </w:rPr>
        <w:t>Journal of Computational Chemistry</w:t>
      </w:r>
      <w:r>
        <w:rPr>
          <w:rFonts w:ascii="Times New Roman" w:hAnsi="Times New Roman"/>
          <w:color w:val="000000"/>
        </w:rPr>
        <w:t xml:space="preserve">. 2011;32:2319–2327. </w:t>
      </w:r>
      <w:hyperlink r:id="rId35">
        <w:r>
          <w:t>doi:10.1002/jcc.21787</w:t>
        </w:r>
      </w:hyperlink>
      <w:r>
        <w:rPr>
          <w:rFonts w:ascii="Times New Roman" w:hAnsi="Times New Roman"/>
          <w:color w:val="000000"/>
        </w:rPr>
        <w:t>.</w:t>
      </w:r>
    </w:p>
    <w:p>
      <w:pPr>
        <w:widowControl/>
        <w:jc w:val="left"/>
      </w:pPr>
      <w:r>
        <w:rPr>
          <w:rFonts w:ascii="Times New Roman" w:hAnsi="Times New Roman"/>
          <w:color w:val="000000"/>
        </w:rPr>
        <w:t xml:space="preserve">17. Gowers RJ, Linke M, Barnoud J, et al. MDAnalysis: A Python package for the rapid analysis of molecular dynamics simulations. In: </w:t>
      </w:r>
      <w:r>
        <w:rPr>
          <w:rFonts w:ascii="Times New Roman" w:hAnsi="Times New Roman"/>
          <w:i/>
          <w:color w:val="000000"/>
        </w:rPr>
        <w:t>Proceedings of the 15th Python in Science Conference</w:t>
      </w:r>
      <w:r>
        <w:rPr>
          <w:rFonts w:ascii="Times New Roman" w:hAnsi="Times New Roman"/>
          <w:color w:val="000000"/>
        </w:rPr>
        <w:t xml:space="preserve">. 2016:98–105. </w:t>
      </w:r>
      <w:hyperlink r:id="rId36">
        <w:r>
          <w:t>doi:10.25080/Majora-629e541a-00e</w:t>
        </w:r>
      </w:hyperlink>
      <w:r>
        <w:rPr>
          <w:rFonts w:ascii="Times New Roman" w:hAnsi="Times New Roman"/>
          <w:color w:val="000000"/>
        </w:rPr>
        <w:t>.</w:t>
      </w:r>
    </w:p>
    <w:p>
      <w:pPr>
        <w:widowControl/>
        <w:jc w:val="left"/>
      </w:pPr>
      <w:r>
        <w:rPr>
          <w:rFonts w:ascii="Times New Roman" w:hAnsi="Times New Roman"/>
          <w:color w:val="000000"/>
        </w:rPr>
        <w:t xml:space="preserve">18. Miller BR III, McGee TD Jr, Swails JM, Homeyer N, Gohlke H, Roitberg AE. MMPBSA.py: An Efficient Program for End-State Free Energy Calculations. </w:t>
      </w:r>
      <w:r>
        <w:rPr>
          <w:rFonts w:ascii="Times New Roman" w:hAnsi="Times New Roman"/>
          <w:i/>
          <w:color w:val="000000"/>
        </w:rPr>
        <w:t>Journal of Chemical Theory and Computation</w:t>
      </w:r>
      <w:r>
        <w:rPr>
          <w:rFonts w:ascii="Times New Roman" w:hAnsi="Times New Roman"/>
          <w:color w:val="000000"/>
        </w:rPr>
        <w:t xml:space="preserve">. 2012;8:3314–3321. </w:t>
      </w:r>
      <w:hyperlink r:id="rId37">
        <w:r>
          <w:t>doi:10.1021/ct300418h</w:t>
        </w:r>
      </w:hyperlink>
      <w:r>
        <w:rPr>
          <w:rFonts w:ascii="Times New Roman" w:hAnsi="Times New Roman"/>
          <w:color w:val="000000"/>
        </w:rPr>
        <w:t>.</w:t>
      </w:r>
    </w:p>
    <w:p>
      <w:pPr>
        <w:widowControl/>
        <w:jc w:val="left"/>
      </w:pPr>
      <w:r>
        <w:rPr>
          <w:rFonts w:ascii="Times New Roman" w:hAnsi="Times New Roman"/>
          <w:color w:val="000000"/>
        </w:rPr>
        <w:t xml:space="preserve">19. The UniProt Consortium. UniProt: the Universal Protein Knowledgebase in 2023. </w:t>
      </w:r>
      <w:r>
        <w:rPr>
          <w:rFonts w:ascii="Times New Roman" w:hAnsi="Times New Roman"/>
          <w:i/>
          <w:color w:val="000000"/>
        </w:rPr>
        <w:t>Nucleic Acids Research</w:t>
      </w:r>
      <w:r>
        <w:rPr>
          <w:rFonts w:ascii="Times New Roman" w:hAnsi="Times New Roman"/>
          <w:color w:val="000000"/>
        </w:rPr>
        <w:t xml:space="preserve">. 2023;51:D523–D531. </w:t>
      </w:r>
      <w:hyperlink r:id="rId38">
        <w:r>
          <w:t>doi:10.1093/nar/gkac1052</w:t>
        </w:r>
      </w:hyperlink>
      <w:r>
        <w:rPr>
          <w:rFonts w:ascii="Times New Roman" w:hAnsi="Times New Roman"/>
          <w:color w:val="000000"/>
        </w:rPr>
        <w:t>.</w:t>
      </w:r>
    </w:p>
    <w:p>
      <w:pPr>
        <w:widowControl/>
        <w:jc w:val="left"/>
      </w:pPr>
      <w:r>
        <w:rPr>
          <w:rFonts w:ascii="Times New Roman" w:hAnsi="Times New Roman"/>
          <w:color w:val="000000"/>
        </w:rPr>
        <w:t xml:space="preserve">20. Henikoff S, Henikoff JG. Amino acid substitution matrices from protein blocks. </w:t>
      </w:r>
      <w:r>
        <w:rPr>
          <w:rFonts w:ascii="Times New Roman" w:hAnsi="Times New Roman"/>
          <w:i/>
          <w:color w:val="000000"/>
        </w:rPr>
        <w:t>Proceedings of the National Academy of Sciences USA</w:t>
      </w:r>
      <w:r>
        <w:rPr>
          <w:rFonts w:ascii="Times New Roman" w:hAnsi="Times New Roman"/>
          <w:color w:val="000000"/>
        </w:rPr>
        <w:t xml:space="preserve">. 1992;89:10915–10919. </w:t>
      </w:r>
      <w:hyperlink r:id="rId39">
        <w:r>
          <w:t>doi:10.1073/pnas.89.22.10915</w:t>
        </w:r>
      </w:hyperlink>
      <w:r>
        <w:rPr>
          <w:rFonts w:ascii="Times New Roman" w:hAnsi="Times New Roman"/>
          <w:color w:val="000000"/>
        </w:rPr>
        <w:t>.</w:t>
      </w:r>
    </w:p>
    <w:p>
      <w:pPr>
        <w:widowControl/>
        <w:jc w:val="left"/>
      </w:pPr>
      <w:r>
        <w:rPr>
          <w:rFonts w:ascii="Times New Roman" w:hAnsi="Times New Roman"/>
          <w:color w:val="000000"/>
        </w:rPr>
        <w:t xml:space="preserve">21. Cock PJA, Antao T, Chang JT, et al. Biopython: freely available Python tools for computational molecular biology and bioinformatics. </w:t>
      </w:r>
      <w:r>
        <w:rPr>
          <w:rFonts w:ascii="Times New Roman" w:hAnsi="Times New Roman"/>
          <w:i/>
          <w:color w:val="000000"/>
        </w:rPr>
        <w:t>Bioinformatics</w:t>
      </w:r>
      <w:r>
        <w:rPr>
          <w:rFonts w:ascii="Times New Roman" w:hAnsi="Times New Roman"/>
          <w:color w:val="000000"/>
        </w:rPr>
        <w:t xml:space="preserve">. 2009;25:1422–1423. </w:t>
      </w:r>
      <w:hyperlink r:id="rId40">
        <w:r>
          <w:t>doi:10.1093/bioinformatics/btp163</w:t>
        </w:r>
      </w:hyperlink>
      <w:r>
        <w:rPr>
          <w:rFonts w:ascii="Times New Roman" w:hAnsi="Times New Roman"/>
          <w:color w:val="000000"/>
        </w:rPr>
        <w:t>.</w:t>
      </w:r>
    </w:p>
    <w:p>
      <w:pPr>
        <w:widowControl/>
        <w:jc w:val="left"/>
      </w:pPr>
      <w:r>
        <w:rPr>
          <w:rFonts w:ascii="Times New Roman" w:hAnsi="Times New Roman"/>
          <w:color w:val="000000"/>
        </w:rPr>
        <w:t xml:space="preserve">22. Müller CW, Schulz GE. Structure of the complex between adenylate kinase from </w:t>
      </w:r>
      <w:r>
        <w:rPr>
          <w:rFonts w:ascii="Times New Roman" w:hAnsi="Times New Roman"/>
          <w:i/>
          <w:color w:val="000000"/>
        </w:rPr>
        <w:t>Escherichia coli</w:t>
      </w:r>
      <w:r>
        <w:rPr>
          <w:rFonts w:ascii="Times New Roman" w:hAnsi="Times New Roman"/>
          <w:color w:val="000000"/>
        </w:rPr>
        <w:t xml:space="preserve"> and the inhibitor Ap5A refined at 1.9 Å resolution. A model for a catalytic transition state. </w:t>
      </w:r>
      <w:r>
        <w:rPr>
          <w:rFonts w:ascii="Times New Roman" w:hAnsi="Times New Roman"/>
          <w:i/>
          <w:color w:val="000000"/>
        </w:rPr>
        <w:t>Journal of Molecular Biology</w:t>
      </w:r>
      <w:r>
        <w:rPr>
          <w:rFonts w:ascii="Times New Roman" w:hAnsi="Times New Roman"/>
          <w:color w:val="000000"/>
        </w:rPr>
        <w:t xml:space="preserve">. 1992;224:159–177. </w:t>
      </w:r>
      <w:hyperlink r:id="rId41">
        <w:r>
          <w:t>doi:10.1016/0022-2836(92)90582-5</w:t>
        </w:r>
      </w:hyperlink>
      <w:r>
        <w:rPr>
          <w:rFonts w:ascii="Times New Roman" w:hAnsi="Times New Roman"/>
          <w:color w:val="000000"/>
        </w:rPr>
        <w:t>.</w:t>
      </w:r>
    </w:p>
    <w:p>
      <w:pPr>
        <w:widowControl/>
        <w:jc w:val="left"/>
      </w:pPr>
      <w:r>
        <w:rPr>
          <w:rFonts w:ascii="Times New Roman" w:hAnsi="Times New Roman"/>
          <w:color w:val="000000"/>
        </w:rPr>
        <w:t xml:space="preserve">23. Müller CW, Schlauderer GJ, Reinstein J, Schulz GE. Adenylate kinase motions during catalysis: an energetic counterweight balancing substrate binding. </w:t>
      </w:r>
      <w:r>
        <w:rPr>
          <w:rFonts w:ascii="Times New Roman" w:hAnsi="Times New Roman"/>
          <w:i/>
          <w:color w:val="000000"/>
        </w:rPr>
        <w:t>Structure</w:t>
      </w:r>
      <w:r>
        <w:rPr>
          <w:rFonts w:ascii="Times New Roman" w:hAnsi="Times New Roman"/>
          <w:color w:val="000000"/>
        </w:rPr>
        <w:t xml:space="preserve">. 1996;4:147–156. </w:t>
      </w:r>
      <w:hyperlink r:id="rId42">
        <w:r>
          <w:t>doi:10.1016/S0969-2126(96)00018-4</w:t>
        </w:r>
      </w:hyperlink>
      <w:r>
        <w:rPr>
          <w:rFonts w:ascii="Times New Roman" w:hAnsi="Times New Roman"/>
          <w:color w:val="000000"/>
        </w:rPr>
        <w:t>.</w:t>
      </w:r>
    </w:p>
    <w:sectPr w:rsidR="00FC693F" w:rsidRPr="0006063C" w:rsidSect="00034616">
      <w:footerReference w:type="default" r:id="rId9"/>
      <w:pgSz w:w="12240" w:h="15840"/>
      <w:pgMar w:top="1152" w:right="1224" w:bottom="1152"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60" w:lineRule="auto"/>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360" w:lineRule="auto" w:before="0"/>
      <w:contextualSpacing/>
    </w:pPr>
    <w:rPr>
      <w:rFonts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