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sz w:val="30"/>
        </w:rPr>
        <w:t>Quality Control Analysis of ATAC-seq Open Chromatin Data</w:t>
      </w:r>
    </w:p>
    <w:p/>
    <w:p>
      <w:pPr>
        <w:pStyle w:val="Heading1"/>
      </w:pPr>
      <w:r>
        <w:t>1  Methods</w:t>
      </w:r>
    </w:p>
    <w:p>
      <w:pPr>
        <w:spacing w:after="200"/>
      </w:pPr>
      <w:r>
        <w:t>ATAC-seq data were obtained for liver and adrenal gland tissue from both human and mouse, with two biological replicates per tissue-species combination (eight samples total). Raw paired-end reads were aligned to their respective reference genomes using Bowtie2 (Langmead &amp; Salzberg, 2012), followed by removal of multi-mapping, duplicate, and mitochondrial reads. Open chromatin regions (OCRs) were called using MACS2 (Zhang et al., 2008) and filtered against ENCODE blacklist regions (Amemiya et al., 2019). Seven QC metrics were evaluated per replicate: percentage of mapped reads (threshold ≥ 90%), percentage of properly paired reads (≥ 90%), fragment-length periodicity plots (≥ 3 clear nucleosomal humps), TSS enrichment score (≥ 10), Non-Redundant Fraction (NRF &gt; 0.8), rescue ratio (&lt; 2), and self-consistency ratio (&lt; 2), with the latter two derived from IDR analysis (Li et al., 2011; Landt et al., 2012). The tissue-species pairing with the strongest and most consistent QC performance across both species was selected for downstream cross-species regulatory analysis.</w:t>
      </w:r>
    </w:p>
    <w:p>
      <w:pPr>
        <w:pStyle w:val="Heading1"/>
      </w:pPr>
      <w:r>
        <w:t>2  Results</w:t>
      </w:r>
    </w:p>
    <w:p>
      <w:pPr>
        <w:spacing w:after="160"/>
      </w:pPr>
      <w:r>
        <w:t>ATAC-seq quality was assessed across all eight samples; full metric values are reported in Table 1. Both liver replicates — human and mouse — passed all QC criteria or showed only marginal deviations. Human liver showed the strongest overall quality, with mapping rates of 98.9% and 98.6%, three clear periodicity humps, high TSS enrichment scores (23.3 and 21.0), NRF values above 0.88, and rescue and self-consistency ratios well below 2; both replicates passed IDR reproducibility testing. Mouse liver similarly passed all reproducibility and complexity thresholds, though TSS enrichment scores were marginally below the recommended threshold of 10 (7.69 and 7.35). Mouse adrenal gland replicates showed adequate alignment and reproducibility but had critically low NRF values (0.302 and 0.270), indicating poor library complexity, and periodicity plots displayed only two humps. Human adrenal gland replicates failed the most critical QC criteria: rescue ratios (2.084 and 4.284) and self-consistency ratios (3.604 and 6.270) both exceeded the threshold of 2, and both replicates failed IDR reproducibility testing. Based on these results, human liver and mouse liver were selected for all downstream cross-species analyses, while both adrenal gland datasets were excluded.</w:t>
      </w:r>
    </w:p>
    <w:p>
      <w:pPr>
        <w:pStyle w:val="Heading2"/>
      </w:pPr>
      <w:r>
        <w:t>2.1  QC Metrics Summary</w:t>
      </w:r>
    </w:p>
    <w:p>
      <w:pPr>
        <w:spacing w:after="80"/>
      </w:pPr>
      <w:r>
        <w:rPr>
          <w:b/>
          <w:i/>
          <w:sz w:val="20"/>
        </w:rPr>
        <w:t xml:space="preserve">Table 1. </w:t>
      </w:r>
      <w:r>
        <w:rPr>
          <w:sz w:val="20"/>
        </w:rPr>
        <w:t>QC metrics for all eight ATAC-seq samples. ✅ = passes threshold; ⚠ = marginal; ❌ = fails threshold.</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rHeight w:val="560"/>
        </w:trPr>
        <w:tc>
          <w:tcPr>
            <w:tcW w:type="dxa" w:w="1440"/>
            <w:shd w:val="clear" w:color="auto" w:fill="D6E4F0"/>
            <w:vAlign w:val="center"/>
          </w:tcPr>
          <w:p>
            <w:pPr>
              <w:jc w:val="center"/>
            </w:pPr>
            <w:r>
              <w:rPr>
                <w:b/>
                <w:color w:val="1F3964"/>
                <w:sz w:val="17"/>
              </w:rPr>
              <w:t>Metric</w:t>
            </w:r>
          </w:p>
        </w:tc>
        <w:tc>
          <w:tcPr>
            <w:tcW w:type="dxa" w:w="1008"/>
            <w:shd w:val="clear" w:color="auto" w:fill="D6E4F0"/>
            <w:vAlign w:val="center"/>
          </w:tcPr>
          <w:p>
            <w:pPr>
              <w:jc w:val="center"/>
            </w:pPr>
            <w:r>
              <w:rPr>
                <w:b/>
                <w:color w:val="1F3964"/>
                <w:sz w:val="17"/>
              </w:rPr>
              <w:t>Threshold</w:t>
            </w:r>
          </w:p>
        </w:tc>
        <w:tc>
          <w:tcPr>
            <w:tcW w:type="dxa" w:w="864"/>
            <w:shd w:val="clear" w:color="auto" w:fill="D6E4F0"/>
            <w:vAlign w:val="center"/>
          </w:tcPr>
          <w:p>
            <w:pPr>
              <w:jc w:val="center"/>
            </w:pPr>
            <w:r>
              <w:rPr>
                <w:b/>
                <w:color w:val="1F3964"/>
                <w:sz w:val="17"/>
              </w:rPr>
              <w:t>Mouse</w:t>
              <w:br/>
              <w:t>Liver R1</w:t>
            </w:r>
          </w:p>
        </w:tc>
        <w:tc>
          <w:tcPr>
            <w:tcW w:type="dxa" w:w="864"/>
            <w:shd w:val="clear" w:color="auto" w:fill="D6E4F0"/>
            <w:vAlign w:val="center"/>
          </w:tcPr>
          <w:p>
            <w:pPr>
              <w:jc w:val="center"/>
            </w:pPr>
            <w:r>
              <w:rPr>
                <w:b/>
                <w:color w:val="1F3964"/>
                <w:sz w:val="17"/>
              </w:rPr>
              <w:t>Mouse</w:t>
              <w:br/>
              <w:t>Liver R2</w:t>
            </w:r>
          </w:p>
        </w:tc>
        <w:tc>
          <w:tcPr>
            <w:tcW w:type="dxa" w:w="864"/>
            <w:shd w:val="clear" w:color="auto" w:fill="D6E4F0"/>
            <w:vAlign w:val="center"/>
          </w:tcPr>
          <w:p>
            <w:pPr>
              <w:jc w:val="center"/>
            </w:pPr>
            <w:r>
              <w:rPr>
                <w:b/>
                <w:color w:val="1F3964"/>
                <w:sz w:val="17"/>
              </w:rPr>
              <w:t>Human</w:t>
              <w:br/>
              <w:t>Liver R1</w:t>
            </w:r>
          </w:p>
        </w:tc>
        <w:tc>
          <w:tcPr>
            <w:tcW w:type="dxa" w:w="864"/>
            <w:shd w:val="clear" w:color="auto" w:fill="D6E4F0"/>
            <w:vAlign w:val="center"/>
          </w:tcPr>
          <w:p>
            <w:pPr>
              <w:jc w:val="center"/>
            </w:pPr>
            <w:r>
              <w:rPr>
                <w:b/>
                <w:color w:val="1F3964"/>
                <w:sz w:val="17"/>
              </w:rPr>
              <w:t>Human</w:t>
              <w:br/>
              <w:t>Liver R2</w:t>
            </w:r>
          </w:p>
        </w:tc>
        <w:tc>
          <w:tcPr>
            <w:tcW w:type="dxa" w:w="864"/>
            <w:shd w:val="clear" w:color="auto" w:fill="D6E4F0"/>
            <w:vAlign w:val="center"/>
          </w:tcPr>
          <w:p>
            <w:pPr>
              <w:jc w:val="center"/>
            </w:pPr>
            <w:r>
              <w:rPr>
                <w:b/>
                <w:color w:val="1F3964"/>
                <w:sz w:val="17"/>
              </w:rPr>
              <w:t>Mouse</w:t>
              <w:br/>
              <w:t>Adrenal R1</w:t>
            </w:r>
          </w:p>
        </w:tc>
        <w:tc>
          <w:tcPr>
            <w:tcW w:type="dxa" w:w="864"/>
            <w:shd w:val="clear" w:color="auto" w:fill="D6E4F0"/>
            <w:vAlign w:val="center"/>
          </w:tcPr>
          <w:p>
            <w:pPr>
              <w:jc w:val="center"/>
            </w:pPr>
            <w:r>
              <w:rPr>
                <w:b/>
                <w:color w:val="1F3964"/>
                <w:sz w:val="17"/>
              </w:rPr>
              <w:t>Mouse</w:t>
              <w:br/>
              <w:t>Adrenal R2</w:t>
            </w:r>
          </w:p>
        </w:tc>
        <w:tc>
          <w:tcPr>
            <w:tcW w:type="dxa" w:w="864"/>
            <w:shd w:val="clear" w:color="auto" w:fill="D6E4F0"/>
            <w:vAlign w:val="center"/>
          </w:tcPr>
          <w:p>
            <w:pPr>
              <w:jc w:val="center"/>
            </w:pPr>
            <w:r>
              <w:rPr>
                <w:b/>
                <w:color w:val="1F3964"/>
                <w:sz w:val="17"/>
              </w:rPr>
              <w:t>Human</w:t>
              <w:br/>
              <w:t>Adrenal R1</w:t>
            </w:r>
          </w:p>
        </w:tc>
        <w:tc>
          <w:tcPr>
            <w:tcW w:type="dxa" w:w="864"/>
            <w:shd w:val="clear" w:color="auto" w:fill="D6E4F0"/>
            <w:vAlign w:val="center"/>
          </w:tcPr>
          <w:p>
            <w:pPr>
              <w:jc w:val="center"/>
            </w:pPr>
            <w:r>
              <w:rPr>
                <w:b/>
                <w:color w:val="1F3964"/>
                <w:sz w:val="17"/>
              </w:rPr>
              <w:t>Human</w:t>
              <w:br/>
              <w:t>Adrenal R2</w:t>
            </w:r>
          </w:p>
        </w:tc>
      </w:tr>
      <w:tr>
        <w:trPr>
          <w:trHeight w:val="440"/>
        </w:trPr>
        <w:tc>
          <w:tcPr>
            <w:tcW w:type="dxa" w:w="1440"/>
            <w:shd w:val="clear" w:color="auto" w:fill="EBF5FB"/>
            <w:vAlign w:val="center"/>
          </w:tcPr>
          <w:p>
            <w:pPr>
              <w:jc w:val="left"/>
            </w:pPr>
            <w:r>
              <w:rPr>
                <w:b/>
                <w:sz w:val="18"/>
              </w:rPr>
              <w:t>% Mapped</w:t>
              <w:br/>
              <w:t>Reads</w:t>
            </w:r>
          </w:p>
        </w:tc>
        <w:tc>
          <w:tcPr>
            <w:tcW w:type="dxa" w:w="1008"/>
            <w:shd w:val="clear" w:color="auto" w:fill="EBF5FB"/>
            <w:vAlign w:val="center"/>
          </w:tcPr>
          <w:p>
            <w:pPr>
              <w:jc w:val="center"/>
            </w:pPr>
            <w:r>
              <w:rPr>
                <w:i/>
                <w:sz w:val="18"/>
              </w:rPr>
              <w:t>≥ 90%</w:t>
            </w:r>
          </w:p>
        </w:tc>
        <w:tc>
          <w:tcPr>
            <w:tcW w:type="dxa" w:w="864"/>
            <w:shd w:val="clear" w:color="auto" w:fill="D6EAD7"/>
            <w:vAlign w:val="center"/>
          </w:tcPr>
          <w:p>
            <w:pPr>
              <w:jc w:val="center"/>
            </w:pPr>
            <w:r>
              <w:rPr>
                <w:sz w:val="17"/>
              </w:rPr>
              <w:t>97.8%</w:t>
            </w:r>
          </w:p>
        </w:tc>
        <w:tc>
          <w:tcPr>
            <w:tcW w:type="dxa" w:w="864"/>
            <w:shd w:val="clear" w:color="auto" w:fill="D6EAD7"/>
            <w:vAlign w:val="center"/>
          </w:tcPr>
          <w:p>
            <w:pPr>
              <w:jc w:val="center"/>
            </w:pPr>
            <w:r>
              <w:rPr>
                <w:sz w:val="17"/>
              </w:rPr>
              <w:t>97.9%</w:t>
            </w:r>
          </w:p>
        </w:tc>
        <w:tc>
          <w:tcPr>
            <w:tcW w:type="dxa" w:w="864"/>
            <w:shd w:val="clear" w:color="auto" w:fill="D6EAD7"/>
            <w:vAlign w:val="center"/>
          </w:tcPr>
          <w:p>
            <w:pPr>
              <w:jc w:val="center"/>
            </w:pPr>
            <w:r>
              <w:rPr>
                <w:sz w:val="17"/>
              </w:rPr>
              <w:t>98.9%</w:t>
            </w:r>
          </w:p>
        </w:tc>
        <w:tc>
          <w:tcPr>
            <w:tcW w:type="dxa" w:w="864"/>
            <w:shd w:val="clear" w:color="auto" w:fill="D6EAD7"/>
            <w:vAlign w:val="center"/>
          </w:tcPr>
          <w:p>
            <w:pPr>
              <w:jc w:val="center"/>
            </w:pPr>
            <w:r>
              <w:rPr>
                <w:sz w:val="17"/>
              </w:rPr>
              <w:t>98.6%</w:t>
            </w:r>
          </w:p>
        </w:tc>
        <w:tc>
          <w:tcPr>
            <w:tcW w:type="dxa" w:w="864"/>
            <w:shd w:val="clear" w:color="auto" w:fill="D6EAD7"/>
            <w:vAlign w:val="center"/>
          </w:tcPr>
          <w:p>
            <w:pPr>
              <w:jc w:val="center"/>
            </w:pPr>
            <w:r>
              <w:rPr>
                <w:sz w:val="17"/>
              </w:rPr>
              <w:t>98.5%</w:t>
            </w:r>
          </w:p>
        </w:tc>
        <w:tc>
          <w:tcPr>
            <w:tcW w:type="dxa" w:w="864"/>
            <w:shd w:val="clear" w:color="auto" w:fill="D6EAD7"/>
            <w:vAlign w:val="center"/>
          </w:tcPr>
          <w:p>
            <w:pPr>
              <w:jc w:val="center"/>
            </w:pPr>
            <w:r>
              <w:rPr>
                <w:sz w:val="17"/>
              </w:rPr>
              <w:t>98.6%</w:t>
            </w:r>
          </w:p>
        </w:tc>
        <w:tc>
          <w:tcPr>
            <w:tcW w:type="dxa" w:w="864"/>
            <w:shd w:val="clear" w:color="auto" w:fill="D6EAD7"/>
            <w:vAlign w:val="center"/>
          </w:tcPr>
          <w:p>
            <w:pPr>
              <w:jc w:val="center"/>
            </w:pPr>
            <w:r>
              <w:rPr>
                <w:sz w:val="17"/>
              </w:rPr>
              <w:t>98.5%</w:t>
            </w:r>
          </w:p>
        </w:tc>
        <w:tc>
          <w:tcPr>
            <w:tcW w:type="dxa" w:w="864"/>
            <w:shd w:val="clear" w:color="auto" w:fill="D6EAD7"/>
            <w:vAlign w:val="center"/>
          </w:tcPr>
          <w:p>
            <w:pPr>
              <w:jc w:val="center"/>
            </w:pPr>
            <w:r>
              <w:rPr>
                <w:sz w:val="17"/>
              </w:rPr>
              <w:t>98.9%</w:t>
            </w:r>
          </w:p>
        </w:tc>
      </w:tr>
      <w:tr>
        <w:trPr>
          <w:trHeight w:val="440"/>
        </w:trPr>
        <w:tc>
          <w:tcPr>
            <w:tcW w:type="dxa" w:w="1440"/>
            <w:shd w:val="clear" w:color="auto" w:fill="EBF5FB"/>
            <w:vAlign w:val="center"/>
          </w:tcPr>
          <w:p>
            <w:pPr>
              <w:jc w:val="left"/>
            </w:pPr>
            <w:r>
              <w:rPr>
                <w:b/>
                <w:sz w:val="18"/>
              </w:rPr>
              <w:t>% Properly</w:t>
              <w:br/>
              <w:t>Paired</w:t>
            </w:r>
          </w:p>
        </w:tc>
        <w:tc>
          <w:tcPr>
            <w:tcW w:type="dxa" w:w="1008"/>
            <w:shd w:val="clear" w:color="auto" w:fill="EBF5FB"/>
            <w:vAlign w:val="center"/>
          </w:tcPr>
          <w:p>
            <w:pPr>
              <w:jc w:val="center"/>
            </w:pPr>
            <w:r>
              <w:rPr>
                <w:i/>
                <w:sz w:val="18"/>
              </w:rPr>
              <w:t>≥ 90%</w:t>
            </w:r>
          </w:p>
        </w:tc>
        <w:tc>
          <w:tcPr>
            <w:tcW w:type="dxa" w:w="864"/>
            <w:shd w:val="clear" w:color="auto" w:fill="D6EAD7"/>
            <w:vAlign w:val="center"/>
          </w:tcPr>
          <w:p>
            <w:pPr>
              <w:jc w:val="center"/>
            </w:pPr>
            <w:r>
              <w:rPr>
                <w:sz w:val="17"/>
              </w:rPr>
              <w:t>95.7%</w:t>
            </w:r>
          </w:p>
        </w:tc>
        <w:tc>
          <w:tcPr>
            <w:tcW w:type="dxa" w:w="864"/>
            <w:shd w:val="clear" w:color="auto" w:fill="D6EAD7"/>
            <w:vAlign w:val="center"/>
          </w:tcPr>
          <w:p>
            <w:pPr>
              <w:jc w:val="center"/>
            </w:pPr>
            <w:r>
              <w:rPr>
                <w:sz w:val="17"/>
              </w:rPr>
              <w:t>95.6%</w:t>
            </w:r>
          </w:p>
        </w:tc>
        <w:tc>
          <w:tcPr>
            <w:tcW w:type="dxa" w:w="864"/>
            <w:shd w:val="clear" w:color="auto" w:fill="D6EAD7"/>
            <w:vAlign w:val="center"/>
          </w:tcPr>
          <w:p>
            <w:pPr>
              <w:jc w:val="center"/>
            </w:pPr>
            <w:r>
              <w:rPr>
                <w:sz w:val="17"/>
              </w:rPr>
              <w:t>97.9%</w:t>
            </w:r>
          </w:p>
        </w:tc>
        <w:tc>
          <w:tcPr>
            <w:tcW w:type="dxa" w:w="864"/>
            <w:shd w:val="clear" w:color="auto" w:fill="D6EAD7"/>
            <w:vAlign w:val="center"/>
          </w:tcPr>
          <w:p>
            <w:pPr>
              <w:jc w:val="center"/>
            </w:pPr>
            <w:r>
              <w:rPr>
                <w:sz w:val="17"/>
              </w:rPr>
              <w:t>97.5%</w:t>
            </w:r>
          </w:p>
        </w:tc>
        <w:tc>
          <w:tcPr>
            <w:tcW w:type="dxa" w:w="864"/>
            <w:shd w:val="clear" w:color="auto" w:fill="D6EAD7"/>
            <w:vAlign w:val="center"/>
          </w:tcPr>
          <w:p>
            <w:pPr>
              <w:jc w:val="center"/>
            </w:pPr>
            <w:r>
              <w:rPr>
                <w:sz w:val="17"/>
              </w:rPr>
              <w:t>94.6%</w:t>
            </w:r>
          </w:p>
        </w:tc>
        <w:tc>
          <w:tcPr>
            <w:tcW w:type="dxa" w:w="864"/>
            <w:shd w:val="clear" w:color="auto" w:fill="D6EAD7"/>
            <w:vAlign w:val="center"/>
          </w:tcPr>
          <w:p>
            <w:pPr>
              <w:jc w:val="center"/>
            </w:pPr>
            <w:r>
              <w:rPr>
                <w:sz w:val="17"/>
              </w:rPr>
              <w:t>94.7%</w:t>
            </w:r>
          </w:p>
        </w:tc>
        <w:tc>
          <w:tcPr>
            <w:tcW w:type="dxa" w:w="864"/>
            <w:shd w:val="clear" w:color="auto" w:fill="D6EAD7"/>
            <w:vAlign w:val="center"/>
          </w:tcPr>
          <w:p>
            <w:pPr>
              <w:jc w:val="center"/>
            </w:pPr>
            <w:r>
              <w:rPr>
                <w:sz w:val="17"/>
              </w:rPr>
              <w:t>97.0%</w:t>
            </w:r>
          </w:p>
        </w:tc>
        <w:tc>
          <w:tcPr>
            <w:tcW w:type="dxa" w:w="864"/>
            <w:shd w:val="clear" w:color="auto" w:fill="D6EAD7"/>
            <w:vAlign w:val="center"/>
          </w:tcPr>
          <w:p>
            <w:pPr>
              <w:jc w:val="center"/>
            </w:pPr>
            <w:r>
              <w:rPr>
                <w:sz w:val="17"/>
              </w:rPr>
              <w:t>97.5%</w:t>
            </w:r>
          </w:p>
        </w:tc>
      </w:tr>
      <w:tr>
        <w:trPr>
          <w:trHeight w:val="440"/>
        </w:trPr>
        <w:tc>
          <w:tcPr>
            <w:tcW w:type="dxa" w:w="1440"/>
            <w:shd w:val="clear" w:color="auto" w:fill="EBF5FB"/>
            <w:vAlign w:val="center"/>
          </w:tcPr>
          <w:p>
            <w:pPr>
              <w:jc w:val="left"/>
            </w:pPr>
            <w:r>
              <w:rPr>
                <w:b/>
                <w:sz w:val="18"/>
              </w:rPr>
              <w:t>Periodicity</w:t>
              <w:br/>
              <w:t>Plot</w:t>
            </w:r>
          </w:p>
        </w:tc>
        <w:tc>
          <w:tcPr>
            <w:tcW w:type="dxa" w:w="1008"/>
            <w:shd w:val="clear" w:color="auto" w:fill="EBF5FB"/>
            <w:vAlign w:val="center"/>
          </w:tcPr>
          <w:p>
            <w:pPr>
              <w:jc w:val="center"/>
            </w:pPr>
            <w:r>
              <w:rPr>
                <w:i/>
                <w:sz w:val="18"/>
              </w:rPr>
              <w:t>3 clear</w:t>
              <w:br/>
              <w:t>humps</w:t>
            </w:r>
          </w:p>
        </w:tc>
        <w:tc>
          <w:tcPr>
            <w:tcW w:type="dxa" w:w="864"/>
            <w:shd w:val="clear" w:color="auto" w:fill="D6EAD7"/>
            <w:vAlign w:val="center"/>
          </w:tcPr>
          <w:p>
            <w:pPr>
              <w:jc w:val="center"/>
            </w:pPr>
            <w:r>
              <w:rPr>
                <w:sz w:val="17"/>
              </w:rPr>
              <w:t>✅ 3 humps</w:t>
            </w:r>
          </w:p>
        </w:tc>
        <w:tc>
          <w:tcPr>
            <w:tcW w:type="dxa" w:w="864"/>
            <w:shd w:val="clear" w:color="auto" w:fill="D6EAD7"/>
            <w:vAlign w:val="center"/>
          </w:tcPr>
          <w:p>
            <w:pPr>
              <w:jc w:val="center"/>
            </w:pPr>
            <w:r>
              <w:rPr>
                <w:sz w:val="17"/>
              </w:rPr>
              <w:t>✅ 3 humps</w:t>
            </w:r>
          </w:p>
        </w:tc>
        <w:tc>
          <w:tcPr>
            <w:tcW w:type="dxa" w:w="864"/>
            <w:shd w:val="clear" w:color="auto" w:fill="D6EAD7"/>
            <w:vAlign w:val="center"/>
          </w:tcPr>
          <w:p>
            <w:pPr>
              <w:jc w:val="center"/>
            </w:pPr>
            <w:r>
              <w:rPr>
                <w:sz w:val="17"/>
              </w:rPr>
              <w:t>✅ 3 humps</w:t>
            </w:r>
          </w:p>
        </w:tc>
        <w:tc>
          <w:tcPr>
            <w:tcW w:type="dxa" w:w="864"/>
            <w:shd w:val="clear" w:color="auto" w:fill="D6EAD7"/>
            <w:vAlign w:val="center"/>
          </w:tcPr>
          <w:p>
            <w:pPr>
              <w:jc w:val="center"/>
            </w:pPr>
            <w:r>
              <w:rPr>
                <w:sz w:val="17"/>
              </w:rPr>
              <w:t>✅ 3 humps</w:t>
            </w:r>
          </w:p>
        </w:tc>
        <w:tc>
          <w:tcPr>
            <w:tcW w:type="dxa" w:w="864"/>
            <w:shd w:val="clear" w:color="auto" w:fill="FFF2CC"/>
            <w:vAlign w:val="center"/>
          </w:tcPr>
          <w:p>
            <w:pPr>
              <w:jc w:val="center"/>
            </w:pPr>
            <w:r>
              <w:rPr>
                <w:color w:val="7D6008"/>
                <w:sz w:val="17"/>
              </w:rPr>
              <w:t>⚠ 2 humps</w:t>
            </w:r>
          </w:p>
        </w:tc>
        <w:tc>
          <w:tcPr>
            <w:tcW w:type="dxa" w:w="864"/>
            <w:shd w:val="clear" w:color="auto" w:fill="FFF2CC"/>
            <w:vAlign w:val="center"/>
          </w:tcPr>
          <w:p>
            <w:pPr>
              <w:jc w:val="center"/>
            </w:pPr>
            <w:r>
              <w:rPr>
                <w:color w:val="7D6008"/>
                <w:sz w:val="17"/>
              </w:rPr>
              <w:t>⚠ 2 humps</w:t>
            </w:r>
          </w:p>
        </w:tc>
        <w:tc>
          <w:tcPr>
            <w:tcW w:type="dxa" w:w="864"/>
            <w:shd w:val="clear" w:color="auto" w:fill="FFF2CC"/>
            <w:vAlign w:val="center"/>
          </w:tcPr>
          <w:p>
            <w:pPr>
              <w:jc w:val="center"/>
            </w:pPr>
            <w:r>
              <w:rPr>
                <w:color w:val="7D6008"/>
                <w:sz w:val="17"/>
              </w:rPr>
              <w:t>⚠ 2 humps</w:t>
            </w:r>
          </w:p>
        </w:tc>
        <w:tc>
          <w:tcPr>
            <w:tcW w:type="dxa" w:w="864"/>
            <w:shd w:val="clear" w:color="auto" w:fill="FFF2CC"/>
            <w:vAlign w:val="center"/>
          </w:tcPr>
          <w:p>
            <w:pPr>
              <w:jc w:val="center"/>
            </w:pPr>
            <w:r>
              <w:rPr>
                <w:color w:val="7D6008"/>
                <w:sz w:val="17"/>
              </w:rPr>
              <w:t>⚠ 2 humps</w:t>
            </w:r>
          </w:p>
        </w:tc>
      </w:tr>
      <w:tr>
        <w:trPr>
          <w:trHeight w:val="440"/>
        </w:trPr>
        <w:tc>
          <w:tcPr>
            <w:tcW w:type="dxa" w:w="1440"/>
            <w:shd w:val="clear" w:color="auto" w:fill="EBF5FB"/>
            <w:vAlign w:val="center"/>
          </w:tcPr>
          <w:p>
            <w:pPr>
              <w:jc w:val="left"/>
            </w:pPr>
            <w:r>
              <w:rPr>
                <w:b/>
                <w:sz w:val="18"/>
              </w:rPr>
              <w:t>TSS</w:t>
              <w:br/>
              <w:t>Enrichment</w:t>
            </w:r>
          </w:p>
        </w:tc>
        <w:tc>
          <w:tcPr>
            <w:tcW w:type="dxa" w:w="1008"/>
            <w:shd w:val="clear" w:color="auto" w:fill="EBF5FB"/>
            <w:vAlign w:val="center"/>
          </w:tcPr>
          <w:p>
            <w:pPr>
              <w:jc w:val="center"/>
            </w:pPr>
            <w:r>
              <w:rPr>
                <w:i/>
                <w:sz w:val="18"/>
              </w:rPr>
              <w:t>≥ 10</w:t>
            </w:r>
          </w:p>
        </w:tc>
        <w:tc>
          <w:tcPr>
            <w:tcW w:type="dxa" w:w="864"/>
            <w:shd w:val="clear" w:color="auto" w:fill="FFF2CC"/>
            <w:vAlign w:val="center"/>
          </w:tcPr>
          <w:p>
            <w:pPr>
              <w:jc w:val="center"/>
            </w:pPr>
            <w:r>
              <w:rPr>
                <w:color w:val="7D6008"/>
                <w:sz w:val="17"/>
              </w:rPr>
              <w:t>⚠ 7.69</w:t>
            </w:r>
          </w:p>
        </w:tc>
        <w:tc>
          <w:tcPr>
            <w:tcW w:type="dxa" w:w="864"/>
            <w:shd w:val="clear" w:color="auto" w:fill="FFF2CC"/>
            <w:vAlign w:val="center"/>
          </w:tcPr>
          <w:p>
            <w:pPr>
              <w:jc w:val="center"/>
            </w:pPr>
            <w:r>
              <w:rPr>
                <w:color w:val="7D6008"/>
                <w:sz w:val="17"/>
              </w:rPr>
              <w:t>⚠ 7.35</w:t>
            </w:r>
          </w:p>
        </w:tc>
        <w:tc>
          <w:tcPr>
            <w:tcW w:type="dxa" w:w="864"/>
            <w:shd w:val="clear" w:color="auto" w:fill="D6EAD7"/>
            <w:vAlign w:val="center"/>
          </w:tcPr>
          <w:p>
            <w:pPr>
              <w:jc w:val="center"/>
            </w:pPr>
            <w:r>
              <w:rPr>
                <w:sz w:val="17"/>
              </w:rPr>
              <w:t>✅ 23.3</w:t>
            </w:r>
          </w:p>
        </w:tc>
        <w:tc>
          <w:tcPr>
            <w:tcW w:type="dxa" w:w="864"/>
            <w:shd w:val="clear" w:color="auto" w:fill="D6EAD7"/>
            <w:vAlign w:val="center"/>
          </w:tcPr>
          <w:p>
            <w:pPr>
              <w:jc w:val="center"/>
            </w:pPr>
            <w:r>
              <w:rPr>
                <w:sz w:val="17"/>
              </w:rPr>
              <w:t>✅ 21.0</w:t>
            </w:r>
          </w:p>
        </w:tc>
        <w:tc>
          <w:tcPr>
            <w:tcW w:type="dxa" w:w="864"/>
            <w:shd w:val="clear" w:color="auto" w:fill="D6EAD7"/>
            <w:vAlign w:val="center"/>
          </w:tcPr>
          <w:p>
            <w:pPr>
              <w:jc w:val="center"/>
            </w:pPr>
            <w:r>
              <w:rPr>
                <w:sz w:val="17"/>
              </w:rPr>
              <w:t>✅ 18.4</w:t>
            </w:r>
          </w:p>
        </w:tc>
        <w:tc>
          <w:tcPr>
            <w:tcW w:type="dxa" w:w="864"/>
            <w:shd w:val="clear" w:color="auto" w:fill="D6EAD7"/>
            <w:vAlign w:val="center"/>
          </w:tcPr>
          <w:p>
            <w:pPr>
              <w:jc w:val="center"/>
            </w:pPr>
            <w:r>
              <w:rPr>
                <w:sz w:val="17"/>
              </w:rPr>
              <w:t>✅ 19.0</w:t>
            </w:r>
          </w:p>
        </w:tc>
        <w:tc>
          <w:tcPr>
            <w:tcW w:type="dxa" w:w="864"/>
            <w:shd w:val="clear" w:color="auto" w:fill="D6EAD7"/>
            <w:vAlign w:val="center"/>
          </w:tcPr>
          <w:p>
            <w:pPr>
              <w:jc w:val="center"/>
            </w:pPr>
            <w:r>
              <w:rPr>
                <w:sz w:val="17"/>
              </w:rPr>
              <w:t>✅ 26.1</w:t>
            </w:r>
          </w:p>
        </w:tc>
        <w:tc>
          <w:tcPr>
            <w:tcW w:type="dxa" w:w="864"/>
            <w:shd w:val="clear" w:color="auto" w:fill="D6EAD7"/>
            <w:vAlign w:val="center"/>
          </w:tcPr>
          <w:p>
            <w:pPr>
              <w:jc w:val="center"/>
            </w:pPr>
            <w:r>
              <w:rPr>
                <w:sz w:val="17"/>
              </w:rPr>
              <w:t>✅ 14.0</w:t>
            </w:r>
          </w:p>
        </w:tc>
      </w:tr>
      <w:tr>
        <w:trPr>
          <w:trHeight w:val="440"/>
        </w:trPr>
        <w:tc>
          <w:tcPr>
            <w:tcW w:type="dxa" w:w="1440"/>
            <w:shd w:val="clear" w:color="auto" w:fill="EBF5FB"/>
            <w:vAlign w:val="center"/>
          </w:tcPr>
          <w:p>
            <w:pPr>
              <w:jc w:val="left"/>
            </w:pPr>
            <w:r>
              <w:rPr>
                <w:b/>
                <w:sz w:val="18"/>
              </w:rPr>
              <w:t>NRF</w:t>
            </w:r>
          </w:p>
        </w:tc>
        <w:tc>
          <w:tcPr>
            <w:tcW w:type="dxa" w:w="1008"/>
            <w:shd w:val="clear" w:color="auto" w:fill="EBF5FB"/>
            <w:vAlign w:val="center"/>
          </w:tcPr>
          <w:p>
            <w:pPr>
              <w:jc w:val="center"/>
            </w:pPr>
            <w:r>
              <w:rPr>
                <w:i/>
                <w:sz w:val="18"/>
              </w:rPr>
              <w:t>&gt; 0.8</w:t>
            </w:r>
          </w:p>
        </w:tc>
        <w:tc>
          <w:tcPr>
            <w:tcW w:type="dxa" w:w="864"/>
            <w:shd w:val="clear" w:color="auto" w:fill="D6EAD7"/>
            <w:vAlign w:val="center"/>
          </w:tcPr>
          <w:p>
            <w:pPr>
              <w:jc w:val="center"/>
            </w:pPr>
            <w:r>
              <w:rPr>
                <w:sz w:val="17"/>
              </w:rPr>
              <w:t>✅ 0.936</w:t>
            </w:r>
          </w:p>
        </w:tc>
        <w:tc>
          <w:tcPr>
            <w:tcW w:type="dxa" w:w="864"/>
            <w:shd w:val="clear" w:color="auto" w:fill="D6EAD7"/>
            <w:vAlign w:val="center"/>
          </w:tcPr>
          <w:p>
            <w:pPr>
              <w:jc w:val="center"/>
            </w:pPr>
            <w:r>
              <w:rPr>
                <w:sz w:val="17"/>
              </w:rPr>
              <w:t>✅ 0.944</w:t>
            </w:r>
          </w:p>
        </w:tc>
        <w:tc>
          <w:tcPr>
            <w:tcW w:type="dxa" w:w="864"/>
            <w:shd w:val="clear" w:color="auto" w:fill="D6EAD7"/>
            <w:vAlign w:val="center"/>
          </w:tcPr>
          <w:p>
            <w:pPr>
              <w:jc w:val="center"/>
            </w:pPr>
            <w:r>
              <w:rPr>
                <w:sz w:val="17"/>
              </w:rPr>
              <w:t>✅ 0.885</w:t>
            </w:r>
          </w:p>
        </w:tc>
        <w:tc>
          <w:tcPr>
            <w:tcW w:type="dxa" w:w="864"/>
            <w:shd w:val="clear" w:color="auto" w:fill="D6EAD7"/>
            <w:vAlign w:val="center"/>
          </w:tcPr>
          <w:p>
            <w:pPr>
              <w:jc w:val="center"/>
            </w:pPr>
            <w:r>
              <w:rPr>
                <w:sz w:val="17"/>
              </w:rPr>
              <w:t>✅ 0.900</w:t>
            </w:r>
          </w:p>
        </w:tc>
        <w:tc>
          <w:tcPr>
            <w:tcW w:type="dxa" w:w="864"/>
            <w:shd w:val="clear" w:color="auto" w:fill="FADBD8"/>
            <w:vAlign w:val="center"/>
          </w:tcPr>
          <w:p>
            <w:pPr>
              <w:jc w:val="center"/>
            </w:pPr>
            <w:r>
              <w:rPr>
                <w:b/>
                <w:color w:val="961C1C"/>
                <w:sz w:val="17"/>
              </w:rPr>
              <w:t>❌ 0.302</w:t>
            </w:r>
          </w:p>
        </w:tc>
        <w:tc>
          <w:tcPr>
            <w:tcW w:type="dxa" w:w="864"/>
            <w:shd w:val="clear" w:color="auto" w:fill="FADBD8"/>
            <w:vAlign w:val="center"/>
          </w:tcPr>
          <w:p>
            <w:pPr>
              <w:jc w:val="center"/>
            </w:pPr>
            <w:r>
              <w:rPr>
                <w:b/>
                <w:color w:val="961C1C"/>
                <w:sz w:val="17"/>
              </w:rPr>
              <w:t>❌ 0.270</w:t>
            </w:r>
          </w:p>
        </w:tc>
        <w:tc>
          <w:tcPr>
            <w:tcW w:type="dxa" w:w="864"/>
            <w:shd w:val="clear" w:color="auto" w:fill="FFF2CC"/>
            <w:vAlign w:val="center"/>
          </w:tcPr>
          <w:p>
            <w:pPr>
              <w:jc w:val="center"/>
            </w:pPr>
            <w:r>
              <w:rPr>
                <w:color w:val="7D6008"/>
                <w:sz w:val="17"/>
              </w:rPr>
              <w:t>⚠ 0.778</w:t>
            </w:r>
          </w:p>
        </w:tc>
        <w:tc>
          <w:tcPr>
            <w:tcW w:type="dxa" w:w="864"/>
            <w:shd w:val="clear" w:color="auto" w:fill="D6EAD7"/>
            <w:vAlign w:val="center"/>
          </w:tcPr>
          <w:p>
            <w:pPr>
              <w:jc w:val="center"/>
            </w:pPr>
            <w:r>
              <w:rPr>
                <w:sz w:val="17"/>
              </w:rPr>
              <w:t>✅ 0.970</w:t>
            </w:r>
          </w:p>
        </w:tc>
      </w:tr>
      <w:tr>
        <w:trPr>
          <w:trHeight w:val="440"/>
        </w:trPr>
        <w:tc>
          <w:tcPr>
            <w:tcW w:type="dxa" w:w="1440"/>
            <w:shd w:val="clear" w:color="auto" w:fill="EBF5FB"/>
            <w:vAlign w:val="center"/>
          </w:tcPr>
          <w:p>
            <w:pPr>
              <w:jc w:val="left"/>
            </w:pPr>
            <w:r>
              <w:rPr>
                <w:b/>
                <w:sz w:val="18"/>
              </w:rPr>
              <w:t>Rescue</w:t>
              <w:br/>
              <w:t>Ratio</w:t>
            </w:r>
          </w:p>
        </w:tc>
        <w:tc>
          <w:tcPr>
            <w:tcW w:type="dxa" w:w="1008"/>
            <w:shd w:val="clear" w:color="auto" w:fill="EBF5FB"/>
            <w:vAlign w:val="center"/>
          </w:tcPr>
          <w:p>
            <w:pPr>
              <w:jc w:val="center"/>
            </w:pPr>
            <w:r>
              <w:rPr>
                <w:i/>
                <w:sz w:val="18"/>
              </w:rPr>
              <w:t>&lt; 2</w:t>
            </w:r>
          </w:p>
        </w:tc>
        <w:tc>
          <w:tcPr>
            <w:tcW w:type="dxa" w:w="864"/>
            <w:shd w:val="clear" w:color="auto" w:fill="D6EAD7"/>
            <w:vAlign w:val="center"/>
          </w:tcPr>
          <w:p>
            <w:pPr>
              <w:jc w:val="center"/>
            </w:pPr>
            <w:r>
              <w:rPr>
                <w:sz w:val="17"/>
              </w:rPr>
              <w:t>✅ 1.004</w:t>
            </w:r>
          </w:p>
        </w:tc>
        <w:tc>
          <w:tcPr>
            <w:tcW w:type="dxa" w:w="864"/>
            <w:shd w:val="clear" w:color="auto" w:fill="D6EAD7"/>
            <w:vAlign w:val="center"/>
          </w:tcPr>
          <w:p>
            <w:pPr>
              <w:jc w:val="center"/>
            </w:pPr>
            <w:r>
              <w:rPr>
                <w:sz w:val="17"/>
              </w:rPr>
              <w:t>✅ 1.012</w:t>
            </w:r>
          </w:p>
        </w:tc>
        <w:tc>
          <w:tcPr>
            <w:tcW w:type="dxa" w:w="864"/>
            <w:shd w:val="clear" w:color="auto" w:fill="D6EAD7"/>
            <w:vAlign w:val="center"/>
          </w:tcPr>
          <w:p>
            <w:pPr>
              <w:jc w:val="center"/>
            </w:pPr>
            <w:r>
              <w:rPr>
                <w:sz w:val="17"/>
              </w:rPr>
              <w:t>✅ 1.091</w:t>
            </w:r>
          </w:p>
        </w:tc>
        <w:tc>
          <w:tcPr>
            <w:tcW w:type="dxa" w:w="864"/>
            <w:shd w:val="clear" w:color="auto" w:fill="D6EAD7"/>
            <w:vAlign w:val="center"/>
          </w:tcPr>
          <w:p>
            <w:pPr>
              <w:jc w:val="center"/>
            </w:pPr>
            <w:r>
              <w:rPr>
                <w:sz w:val="17"/>
              </w:rPr>
              <w:t>✅ 1.242</w:t>
            </w:r>
          </w:p>
        </w:tc>
        <w:tc>
          <w:tcPr>
            <w:tcW w:type="dxa" w:w="864"/>
            <w:shd w:val="clear" w:color="auto" w:fill="D6EAD7"/>
            <w:vAlign w:val="center"/>
          </w:tcPr>
          <w:p>
            <w:pPr>
              <w:jc w:val="center"/>
            </w:pPr>
            <w:r>
              <w:rPr>
                <w:sz w:val="17"/>
              </w:rPr>
              <w:t>✅ 1.013</w:t>
            </w:r>
          </w:p>
        </w:tc>
        <w:tc>
          <w:tcPr>
            <w:tcW w:type="dxa" w:w="864"/>
            <w:shd w:val="clear" w:color="auto" w:fill="D6EAD7"/>
            <w:vAlign w:val="center"/>
          </w:tcPr>
          <w:p>
            <w:pPr>
              <w:jc w:val="center"/>
            </w:pPr>
            <w:r>
              <w:rPr>
                <w:sz w:val="17"/>
              </w:rPr>
              <w:t>✅ 1.010</w:t>
            </w:r>
          </w:p>
        </w:tc>
        <w:tc>
          <w:tcPr>
            <w:tcW w:type="dxa" w:w="864"/>
            <w:shd w:val="clear" w:color="auto" w:fill="FADBD8"/>
            <w:vAlign w:val="center"/>
          </w:tcPr>
          <w:p>
            <w:pPr>
              <w:jc w:val="center"/>
            </w:pPr>
            <w:r>
              <w:rPr>
                <w:b/>
                <w:color w:val="961C1C"/>
                <w:sz w:val="17"/>
              </w:rPr>
              <w:t>❌ 2.084</w:t>
            </w:r>
          </w:p>
        </w:tc>
        <w:tc>
          <w:tcPr>
            <w:tcW w:type="dxa" w:w="864"/>
            <w:shd w:val="clear" w:color="auto" w:fill="FADBD8"/>
            <w:vAlign w:val="center"/>
          </w:tcPr>
          <w:p>
            <w:pPr>
              <w:jc w:val="center"/>
            </w:pPr>
            <w:r>
              <w:rPr>
                <w:b/>
                <w:color w:val="961C1C"/>
                <w:sz w:val="17"/>
              </w:rPr>
              <w:t>❌ 4.284</w:t>
            </w:r>
          </w:p>
        </w:tc>
      </w:tr>
      <w:tr>
        <w:trPr>
          <w:trHeight w:val="440"/>
        </w:trPr>
        <w:tc>
          <w:tcPr>
            <w:tcW w:type="dxa" w:w="1440"/>
            <w:shd w:val="clear" w:color="auto" w:fill="EBF5FB"/>
            <w:vAlign w:val="center"/>
          </w:tcPr>
          <w:p>
            <w:pPr>
              <w:jc w:val="left"/>
            </w:pPr>
            <w:r>
              <w:rPr>
                <w:b/>
                <w:sz w:val="18"/>
              </w:rPr>
              <w:t>Self-consistency</w:t>
              <w:br/>
              <w:t>Ratio</w:t>
            </w:r>
          </w:p>
        </w:tc>
        <w:tc>
          <w:tcPr>
            <w:tcW w:type="dxa" w:w="1008"/>
            <w:shd w:val="clear" w:color="auto" w:fill="EBF5FB"/>
            <w:vAlign w:val="center"/>
          </w:tcPr>
          <w:p>
            <w:pPr>
              <w:jc w:val="center"/>
            </w:pPr>
            <w:r>
              <w:rPr>
                <w:i/>
                <w:sz w:val="18"/>
              </w:rPr>
              <w:t>&lt; 2</w:t>
            </w:r>
          </w:p>
        </w:tc>
        <w:tc>
          <w:tcPr>
            <w:tcW w:type="dxa" w:w="864"/>
            <w:shd w:val="clear" w:color="auto" w:fill="D6EAD7"/>
            <w:vAlign w:val="center"/>
          </w:tcPr>
          <w:p>
            <w:pPr>
              <w:jc w:val="center"/>
            </w:pPr>
            <w:r>
              <w:rPr>
                <w:sz w:val="17"/>
              </w:rPr>
              <w:t>✅ 1.076</w:t>
            </w:r>
          </w:p>
        </w:tc>
        <w:tc>
          <w:tcPr>
            <w:tcW w:type="dxa" w:w="864"/>
            <w:shd w:val="clear" w:color="auto" w:fill="D6EAD7"/>
            <w:vAlign w:val="center"/>
          </w:tcPr>
          <w:p>
            <w:pPr>
              <w:jc w:val="center"/>
            </w:pPr>
            <w:r>
              <w:rPr>
                <w:sz w:val="17"/>
              </w:rPr>
              <w:t>✅ 1.104</w:t>
            </w:r>
          </w:p>
        </w:tc>
        <w:tc>
          <w:tcPr>
            <w:tcW w:type="dxa" w:w="864"/>
            <w:shd w:val="clear" w:color="auto" w:fill="D6EAD7"/>
            <w:vAlign w:val="center"/>
          </w:tcPr>
          <w:p>
            <w:pPr>
              <w:jc w:val="center"/>
            </w:pPr>
            <w:r>
              <w:rPr>
                <w:sz w:val="17"/>
              </w:rPr>
              <w:t>✅ 1.219</w:t>
            </w:r>
          </w:p>
        </w:tc>
        <w:tc>
          <w:tcPr>
            <w:tcW w:type="dxa" w:w="864"/>
            <w:shd w:val="clear" w:color="auto" w:fill="D6EAD7"/>
            <w:vAlign w:val="center"/>
          </w:tcPr>
          <w:p>
            <w:pPr>
              <w:jc w:val="center"/>
            </w:pPr>
            <w:r>
              <w:rPr>
                <w:sz w:val="17"/>
              </w:rPr>
              <w:t>✅ 1.428</w:t>
            </w:r>
          </w:p>
        </w:tc>
        <w:tc>
          <w:tcPr>
            <w:tcW w:type="dxa" w:w="864"/>
            <w:shd w:val="clear" w:color="auto" w:fill="D6EAD7"/>
            <w:vAlign w:val="center"/>
          </w:tcPr>
          <w:p>
            <w:pPr>
              <w:jc w:val="center"/>
            </w:pPr>
            <w:r>
              <w:rPr>
                <w:sz w:val="17"/>
              </w:rPr>
              <w:t>✅ 1.222</w:t>
            </w:r>
          </w:p>
        </w:tc>
        <w:tc>
          <w:tcPr>
            <w:tcW w:type="dxa" w:w="864"/>
            <w:shd w:val="clear" w:color="auto" w:fill="D6EAD7"/>
            <w:vAlign w:val="center"/>
          </w:tcPr>
          <w:p>
            <w:pPr>
              <w:jc w:val="center"/>
            </w:pPr>
            <w:r>
              <w:rPr>
                <w:sz w:val="17"/>
              </w:rPr>
              <w:t>✅ 1.289</w:t>
            </w:r>
          </w:p>
        </w:tc>
        <w:tc>
          <w:tcPr>
            <w:tcW w:type="dxa" w:w="864"/>
            <w:shd w:val="clear" w:color="auto" w:fill="FADBD8"/>
            <w:vAlign w:val="center"/>
          </w:tcPr>
          <w:p>
            <w:pPr>
              <w:jc w:val="center"/>
            </w:pPr>
            <w:r>
              <w:rPr>
                <w:b/>
                <w:color w:val="961C1C"/>
                <w:sz w:val="17"/>
              </w:rPr>
              <w:t>❌ 3.604</w:t>
            </w:r>
          </w:p>
        </w:tc>
        <w:tc>
          <w:tcPr>
            <w:tcW w:type="dxa" w:w="864"/>
            <w:shd w:val="clear" w:color="auto" w:fill="FADBD8"/>
            <w:vAlign w:val="center"/>
          </w:tcPr>
          <w:p>
            <w:pPr>
              <w:jc w:val="center"/>
            </w:pPr>
            <w:r>
              <w:rPr>
                <w:b/>
                <w:color w:val="961C1C"/>
                <w:sz w:val="17"/>
              </w:rPr>
              <w:t>❌ 6.270</w:t>
            </w:r>
          </w:p>
        </w:tc>
      </w:tr>
      <w:tr>
        <w:trPr>
          <w:trHeight w:val="440"/>
        </w:trPr>
        <w:tc>
          <w:tcPr>
            <w:tcW w:type="dxa" w:w="1440"/>
            <w:shd w:val="clear" w:color="auto" w:fill="EBF5FB"/>
            <w:vAlign w:val="center"/>
          </w:tcPr>
          <w:p>
            <w:pPr>
              <w:jc w:val="left"/>
            </w:pPr>
            <w:r>
              <w:rPr>
                <w:b/>
                <w:sz w:val="18"/>
              </w:rPr>
              <w:t>IDR</w:t>
              <w:br/>
              <w:t>Reproducibility</w:t>
            </w:r>
          </w:p>
        </w:tc>
        <w:tc>
          <w:tcPr>
            <w:tcW w:type="dxa" w:w="1008"/>
            <w:shd w:val="clear" w:color="auto" w:fill="EBF5FB"/>
            <w:vAlign w:val="center"/>
          </w:tcPr>
          <w:p>
            <w:pPr>
              <w:jc w:val="center"/>
            </w:pPr>
            <w:r>
              <w:rPr>
                <w:i/>
                <w:sz w:val="18"/>
              </w:rPr>
              <w:t>Pass</w:t>
            </w:r>
          </w:p>
        </w:tc>
        <w:tc>
          <w:tcPr>
            <w:tcW w:type="dxa" w:w="864"/>
            <w:shd w:val="clear" w:color="auto" w:fill="D6EAD7"/>
            <w:vAlign w:val="center"/>
          </w:tcPr>
          <w:p>
            <w:pPr>
              <w:jc w:val="center"/>
            </w:pPr>
            <w:r>
              <w:rPr>
                <w:sz w:val="17"/>
              </w:rPr>
              <w:t>✅ Pass</w:t>
            </w:r>
          </w:p>
        </w:tc>
        <w:tc>
          <w:tcPr>
            <w:tcW w:type="dxa" w:w="864"/>
            <w:shd w:val="clear" w:color="auto" w:fill="D6EAD7"/>
            <w:vAlign w:val="center"/>
          </w:tcPr>
          <w:p>
            <w:pPr>
              <w:jc w:val="center"/>
            </w:pPr>
            <w:r>
              <w:rPr>
                <w:sz w:val="17"/>
              </w:rPr>
              <w:t>✅ Pass</w:t>
            </w:r>
          </w:p>
        </w:tc>
        <w:tc>
          <w:tcPr>
            <w:tcW w:type="dxa" w:w="864"/>
            <w:shd w:val="clear" w:color="auto" w:fill="D6EAD7"/>
            <w:vAlign w:val="center"/>
          </w:tcPr>
          <w:p>
            <w:pPr>
              <w:jc w:val="center"/>
            </w:pPr>
            <w:r>
              <w:rPr>
                <w:sz w:val="17"/>
              </w:rPr>
              <w:t>✅ Pass</w:t>
            </w:r>
          </w:p>
        </w:tc>
        <w:tc>
          <w:tcPr>
            <w:tcW w:type="dxa" w:w="864"/>
            <w:shd w:val="clear" w:color="auto" w:fill="D6EAD7"/>
            <w:vAlign w:val="center"/>
          </w:tcPr>
          <w:p>
            <w:pPr>
              <w:jc w:val="center"/>
            </w:pPr>
            <w:r>
              <w:rPr>
                <w:sz w:val="17"/>
              </w:rPr>
              <w:t>✅ Pass</w:t>
            </w:r>
          </w:p>
        </w:tc>
        <w:tc>
          <w:tcPr>
            <w:tcW w:type="dxa" w:w="864"/>
            <w:shd w:val="clear" w:color="auto" w:fill="D6EAD7"/>
            <w:vAlign w:val="center"/>
          </w:tcPr>
          <w:p>
            <w:pPr>
              <w:jc w:val="center"/>
            </w:pPr>
            <w:r>
              <w:rPr>
                <w:sz w:val="17"/>
              </w:rPr>
              <w:t>✅ Pass</w:t>
            </w:r>
          </w:p>
        </w:tc>
        <w:tc>
          <w:tcPr>
            <w:tcW w:type="dxa" w:w="864"/>
            <w:shd w:val="clear" w:color="auto" w:fill="D6EAD7"/>
            <w:vAlign w:val="center"/>
          </w:tcPr>
          <w:p>
            <w:pPr>
              <w:jc w:val="center"/>
            </w:pPr>
            <w:r>
              <w:rPr>
                <w:sz w:val="17"/>
              </w:rPr>
              <w:t>✅ Pass</w:t>
            </w:r>
          </w:p>
        </w:tc>
        <w:tc>
          <w:tcPr>
            <w:tcW w:type="dxa" w:w="864"/>
            <w:shd w:val="clear" w:color="auto" w:fill="FADBD8"/>
            <w:vAlign w:val="center"/>
          </w:tcPr>
          <w:p>
            <w:pPr>
              <w:jc w:val="center"/>
            </w:pPr>
            <w:r>
              <w:rPr>
                <w:b/>
                <w:color w:val="961C1C"/>
                <w:sz w:val="17"/>
              </w:rPr>
              <w:t>❌ Fail</w:t>
            </w:r>
          </w:p>
        </w:tc>
        <w:tc>
          <w:tcPr>
            <w:tcW w:type="dxa" w:w="864"/>
            <w:shd w:val="clear" w:color="auto" w:fill="FADBD8"/>
            <w:vAlign w:val="center"/>
          </w:tcPr>
          <w:p>
            <w:pPr>
              <w:jc w:val="center"/>
            </w:pPr>
            <w:r>
              <w:rPr>
                <w:b/>
                <w:color w:val="961C1C"/>
                <w:sz w:val="17"/>
              </w:rPr>
              <w:t>❌ Fail</w:t>
            </w:r>
          </w:p>
        </w:tc>
      </w:tr>
    </w:tbl>
    <w:p/>
    <w:p>
      <w:pPr>
        <w:pStyle w:val="Heading1"/>
      </w:pPr>
      <w:r>
        <w:t>3  References</w:t>
      </w:r>
    </w:p>
    <w:p>
      <w:pPr>
        <w:pStyle w:val="ListBullet"/>
        <w:spacing w:after="60"/>
      </w:pPr>
      <w:r>
        <w:rPr>
          <w:sz w:val="20"/>
        </w:rPr>
        <w:t>Amemiya, H.M. et al. (2019). The ENCODE Blacklist: Identification of Problematic Regions of the Genome. Scientific Reports 9, 9354.</w:t>
      </w:r>
    </w:p>
    <w:p>
      <w:pPr>
        <w:pStyle w:val="ListBullet"/>
        <w:spacing w:after="60"/>
      </w:pPr>
      <w:r>
        <w:rPr>
          <w:sz w:val="20"/>
        </w:rPr>
        <w:t>Ji, Z. et al. (2020). Multi-scale chromatin state annotation using a hierarchical hidden Markov model. Biochim Biophys Acta Gene Regul Mech, 1863(6):194551.</w:t>
      </w:r>
    </w:p>
    <w:p>
      <w:pPr>
        <w:pStyle w:val="ListBullet"/>
        <w:spacing w:after="60"/>
      </w:pPr>
      <w:r>
        <w:rPr>
          <w:sz w:val="20"/>
        </w:rPr>
        <w:t>Kaplow, I.M. et al. (2022). Relating enhancer genetic variation across mammals to complex phenotypes using linear mixed models. BMC Genomics 23, 307.</w:t>
      </w:r>
    </w:p>
    <w:p>
      <w:pPr>
        <w:pStyle w:val="ListBullet"/>
        <w:spacing w:after="60"/>
      </w:pPr>
      <w:r>
        <w:rPr>
          <w:sz w:val="20"/>
        </w:rPr>
        <w:t>Landt, S.G. et al. (2012). ChIP-seq guidelines and practices of the ENCODE and modENCODE consortia. Genome Research 22, 1813–1831.</w:t>
      </w:r>
    </w:p>
    <w:p>
      <w:pPr>
        <w:pStyle w:val="ListBullet"/>
        <w:spacing w:after="60"/>
      </w:pPr>
      <w:r>
        <w:rPr>
          <w:sz w:val="20"/>
        </w:rPr>
        <w:t>Langmead, B. &amp; Salzberg, S.L. (2012). Fast gapped-read alignment with Bowtie 2. Nature Methods 9, 357–359.</w:t>
      </w:r>
    </w:p>
    <w:p>
      <w:pPr>
        <w:pStyle w:val="ListBullet"/>
        <w:spacing w:after="60"/>
      </w:pPr>
      <w:r>
        <w:rPr>
          <w:sz w:val="20"/>
        </w:rPr>
        <w:t>Li, Q. et al. (2011). Measuring reproducibility of high-throughput experiments. Annals of Applied Statistics 5(3), 1752–1779.</w:t>
      </w:r>
    </w:p>
    <w:p>
      <w:pPr>
        <w:pStyle w:val="ListBullet"/>
        <w:spacing w:after="60"/>
      </w:pPr>
      <w:r>
        <w:rPr>
          <w:sz w:val="20"/>
        </w:rPr>
        <w:t>Zhang, Y. et al. (2008). Model-based Analysis of ChIP-Seq (MACS). Genome Biology 9, R137.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964"/>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96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9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