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r>
        <w:rPr>
          <w:rFonts w:hint="eastAsia"/>
          <w:i/>
        </w:rPr>
        <w:t>f</w:t>
      </w:r>
      <w:r>
        <w:rPr>
          <w:rFonts w:hint="eastAsia"/>
        </w:rPr>
        <w:t>RNC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RBP-ncRNAs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>among RBPs and ncRNAs (miRNA</w:t>
      </w:r>
      <w:r w:rsidRPr="0081658F">
        <w:rPr>
          <w:rFonts w:cs="Times New Roman"/>
          <w:bCs/>
        </w:rPr>
        <w:t>s</w:t>
      </w:r>
      <w:r w:rsidRPr="0081658F">
        <w:rPr>
          <w:rFonts w:eastAsia="宋体" w:cs="Times New Roman"/>
          <w:bCs/>
        </w:rPr>
        <w:t xml:space="preserve">, circRNAs </w:t>
      </w:r>
      <w:r w:rsidRPr="0081658F">
        <w:rPr>
          <w:rFonts w:cs="Times New Roman"/>
          <w:bCs/>
        </w:rPr>
        <w:t>and lncRNAs)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EB2F53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EB2F53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EB2F53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EB2F53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EB2F53">
        <w:rPr>
          <w:rFonts w:eastAsia="宋体" w:cs="Times New Roman"/>
          <w:bCs/>
        </w:rPr>
      </w:r>
      <w:r w:rsidR="00EB2F53">
        <w:rPr>
          <w:rFonts w:eastAsia="宋体" w:cs="Times New Roman"/>
          <w:bCs/>
        </w:rPr>
        <w:fldChar w:fldCharType="end"/>
      </w:r>
      <w:r w:rsidR="00EB2F53" w:rsidRPr="0081658F">
        <w:rPr>
          <w:rFonts w:eastAsia="宋体" w:cs="Times New Roman"/>
          <w:bCs/>
        </w:rPr>
      </w:r>
      <w:r w:rsidR="00EB2F53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EB2F53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 xml:space="preserve">. Meanwhile, RBP-miRNA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r w:rsidRPr="0081658F">
        <w:rPr>
          <w:rFonts w:cs="Times New Roman"/>
        </w:rPr>
        <w:t>RNAct</w:t>
      </w:r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EB2F53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EB2F53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EB2F53">
        <w:rPr>
          <w:rFonts w:eastAsia="宋体" w:cs="Times New Roman"/>
          <w:bCs/>
        </w:rPr>
      </w:r>
      <w:r w:rsidR="00EB2F53">
        <w:rPr>
          <w:rFonts w:eastAsia="宋体" w:cs="Times New Roman"/>
          <w:bCs/>
        </w:rPr>
        <w:fldChar w:fldCharType="end"/>
      </w:r>
      <w:r w:rsidR="00EB2F53" w:rsidRPr="0081658F">
        <w:rPr>
          <w:rFonts w:eastAsia="宋体" w:cs="Times New Roman"/>
          <w:bCs/>
        </w:rPr>
      </w:r>
      <w:r w:rsidR="00EB2F53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EB2F53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RBP-miRNA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RBP-miRNA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>. There are 7 types of non-directional interactions in the regulatory network: miRNA-lncRNA (M2L), miRNA-circRNA (M2C), miRNA-RBP (M2R), RBP-lncRNA (R2L), RBP-miRNA (R2M), RBP-RBP (R2R) and RBP-circRNA (R2C). As a result, 1934(1431) miRNAs, 14281(9129) lncRNAs, 91280(</w:t>
      </w:r>
      <w:r w:rsidR="00906CC2">
        <w:rPr>
          <w:rFonts w:eastAsia="宋体" w:hint="eastAsia"/>
        </w:rPr>
        <w:t>1741</w:t>
      </w:r>
      <w:r w:rsidRPr="0081658F">
        <w:rPr>
          <w:rFonts w:eastAsia="宋体" w:cs="Times New Roman"/>
          <w:bCs/>
        </w:rPr>
        <w:t>) circRNAs and 1297(1876) RBPs constitute 11788434</w:t>
      </w:r>
      <w:r w:rsidR="00906CC2" w:rsidRPr="00A21ED9">
        <w:rPr>
          <w:rFonts w:eastAsia="宋体"/>
        </w:rPr>
        <w:t>(</w:t>
      </w:r>
      <w:r w:rsidR="00906CC2" w:rsidRPr="00C373B9">
        <w:rPr>
          <w:rFonts w:eastAsia="宋体"/>
        </w:rPr>
        <w:t>3047444</w:t>
      </w:r>
      <w:r w:rsidR="00906CC2" w:rsidRPr="00A21ED9">
        <w:rPr>
          <w:rFonts w:eastAsia="宋体"/>
        </w:rPr>
        <w:t>)</w:t>
      </w:r>
      <w:r w:rsidRPr="0081658F">
        <w:rPr>
          <w:rFonts w:eastAsia="宋体" w:cs="Times New Roman"/>
          <w:bCs/>
        </w:rPr>
        <w:t xml:space="preserve"> interactions in the human(mouse). Table 1 lists the interactions statistics the RBP-ncRNA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>Table 1: 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 of the RBP-ncRNA regulation network</w:t>
      </w:r>
      <w:r>
        <w:rPr>
          <w:rFonts w:cs="Times New Roman" w:hint="eastAsia"/>
        </w:rPr>
        <w:t xml:space="preserve"> in </w:t>
      </w:r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</w:p>
    <w:tbl>
      <w:tblPr>
        <w:tblW w:w="9606" w:type="dxa"/>
        <w:tblLook w:val="04A0"/>
      </w:tblPr>
      <w:tblGrid>
        <w:gridCol w:w="2848"/>
        <w:gridCol w:w="1850"/>
        <w:gridCol w:w="1150"/>
        <w:gridCol w:w="1250"/>
        <w:gridCol w:w="1250"/>
        <w:gridCol w:w="1258"/>
      </w:tblGrid>
      <w:tr w:rsidR="00E84C80" w:rsidRPr="00243934" w:rsidTr="00DD0A56">
        <w:trPr>
          <w:trHeight w:val="351"/>
        </w:trPr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3" w:firstLine="4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Homo sapiens(Mus musculus)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3" w:firstLine="2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miRNA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circRNA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1" w:firstLine="42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lncRNA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34" w:firstLine="68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RBP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3502309(17483)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83324(1154)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63698(10468)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3789(826)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miRNA-mRNA(RBP)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125409(126534)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618(676)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1271(1743)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5217528(16356)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91280(1717)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201179(34881)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RBP-RBP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169913(255905)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1267(1876)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lastRenderedPageBreak/>
              <w:t>RBP-miRNA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2508398(2585817)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1297(1807)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11788434(3047444)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91280(1741)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1297(1876)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CB" w:rsidRPr="0081658F" w:rsidRDefault="00AA1D3D" w:rsidP="007E4CCB">
      <w:pPr>
        <w:spacing w:before="120" w:after="120" w:line="480" w:lineRule="auto"/>
        <w:ind w:firstLine="480"/>
        <w:rPr>
          <w:rFonts w:cs="Times New Roman"/>
        </w:rPr>
      </w:pPr>
      <w:r>
        <w:rPr>
          <w:rFonts w:hint="eastAsia"/>
        </w:rPr>
        <w:t>During the construction of regulatory network, the lncRNA and gene names were mappe</w:t>
      </w:r>
      <w:r>
        <w:t>d to Ensembl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>, the miRNA names were mapped to miRBase accession numbers of mature miRNAs</w:t>
      </w:r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r>
        <w:rPr>
          <w:rFonts w:hint="eastAsia"/>
        </w:rPr>
        <w:t>circ</w:t>
      </w:r>
      <w:r>
        <w:t>RNA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circBase ID (</w:t>
      </w:r>
      <w:r>
        <w:t>http://www.circbase.org/</w:t>
      </w:r>
      <w:r>
        <w:rPr>
          <w:rFonts w:hint="eastAsia"/>
        </w:rPr>
        <w:t>). T</w:t>
      </w:r>
      <w:r>
        <w:t>he RBPs, miRNAs</w:t>
      </w:r>
      <w:r>
        <w:rPr>
          <w:rFonts w:hint="eastAsia"/>
        </w:rPr>
        <w:t>,</w:t>
      </w:r>
      <w:r>
        <w:t xml:space="preserve"> lncRNAs, and 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</w:t>
      </w:r>
      <w:r>
        <w:t>that did not map to these IDs were discarded.</w:t>
      </w:r>
      <w:r w:rsidR="007E4CCB" w:rsidRPr="007E4CCB">
        <w:rPr>
          <w:rFonts w:cs="Times New Roman"/>
        </w:rPr>
        <w:t xml:space="preserve"> </w:t>
      </w:r>
      <w:r w:rsidR="007E4CCB">
        <w:rPr>
          <w:rFonts w:cs="Times New Roman"/>
        </w:rPr>
        <w:t>W</w:t>
      </w:r>
      <w:r w:rsidR="007E4CCB" w:rsidRPr="0081658F">
        <w:rPr>
          <w:rFonts w:cs="Times New Roman"/>
        </w:rPr>
        <w:t xml:space="preserve">e classify the interaction into two </w:t>
      </w:r>
      <w:r w:rsidR="007E4CCB">
        <w:rPr>
          <w:rFonts w:cs="Times New Roman"/>
        </w:rPr>
        <w:t>regulation type</w:t>
      </w:r>
      <w:r w:rsidR="007E4CCB" w:rsidRPr="0081658F">
        <w:rPr>
          <w:rFonts w:cs="Times New Roman"/>
        </w:rPr>
        <w:t xml:space="preserve">s: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post-transcription level and protein level. The </w:t>
      </w:r>
      <w:r w:rsidR="007E4CCB">
        <w:rPr>
          <w:rFonts w:cs="Times New Roman"/>
        </w:rPr>
        <w:t>former</w:t>
      </w:r>
      <w:r w:rsidR="007E4CCB" w:rsidRPr="0081658F">
        <w:rPr>
          <w:rFonts w:cs="Times New Roman"/>
        </w:rPr>
        <w:t xml:space="preserve"> consists of the interactions of miRNA-circRNA, miRNA-ln</w:t>
      </w:r>
      <w:r w:rsidR="007E4CCB" w:rsidRPr="00541319">
        <w:t>cRNA, and miRNA-mRNA</w:t>
      </w:r>
      <w:r w:rsidR="007E4CCB" w:rsidRPr="00541319">
        <w:rPr>
          <w:rFonts w:hint="eastAsia"/>
        </w:rPr>
        <w:t xml:space="preserve"> </w:t>
      </w:r>
      <w:r w:rsidR="007E4CCB" w:rsidRPr="00541319">
        <w:t>(tra</w:t>
      </w:r>
      <w:r w:rsidR="007E4CCB">
        <w:rPr>
          <w:rFonts w:cs="Times New Roman"/>
        </w:rPr>
        <w:t xml:space="preserve">nscript of </w:t>
      </w:r>
      <w:r w:rsidR="007E4CCB" w:rsidRPr="0081658F">
        <w:rPr>
          <w:rFonts w:cs="Times New Roman"/>
        </w:rPr>
        <w:t xml:space="preserve">RBP).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protein </w:t>
      </w:r>
      <w:r w:rsidR="007E4CCB">
        <w:rPr>
          <w:rFonts w:cs="Times New Roman"/>
        </w:rPr>
        <w:t>level</w:t>
      </w:r>
      <w:r w:rsidR="007E4CCB" w:rsidRPr="0081658F">
        <w:rPr>
          <w:rFonts w:cs="Times New Roman"/>
        </w:rPr>
        <w:t xml:space="preserve"> contain</w:t>
      </w:r>
      <w:r w:rsidR="007E4CCB">
        <w:rPr>
          <w:rFonts w:cs="Times New Roman"/>
        </w:rPr>
        <w:t>s</w:t>
      </w:r>
      <w:r w:rsidR="007E4CCB" w:rsidRPr="0081658F">
        <w:rPr>
          <w:rFonts w:cs="Times New Roman"/>
        </w:rPr>
        <w:t xml:space="preserve"> the interactions </w:t>
      </w:r>
      <w:r w:rsidR="007E4CCB">
        <w:rPr>
          <w:rFonts w:cs="Times New Roman"/>
        </w:rPr>
        <w:t xml:space="preserve">of </w:t>
      </w:r>
      <w:r w:rsidR="007E4CCB" w:rsidRPr="0081658F">
        <w:rPr>
          <w:rFonts w:cs="Times New Roman"/>
        </w:rPr>
        <w:t>RBP-circRNA, RBP-lncRNA, RBP-miRNA, RBP-RBP, miRNA-circRNA and miRNA-lncRNA.</w:t>
      </w:r>
    </w:p>
    <w:p w:rsidR="00A32CB6" w:rsidRPr="007E4CCB" w:rsidRDefault="00A32CB6">
      <w:pPr>
        <w:ind w:firstLine="480"/>
        <w:jc w:val="left"/>
      </w:pP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r>
        <w:rPr>
          <w:rFonts w:hint="eastAsia"/>
          <w:i/>
        </w:rPr>
        <w:t>fRNC</w:t>
      </w:r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r>
        <w:rPr>
          <w:szCs w:val="28"/>
        </w:rPr>
        <w:t>ncRNAs</w:t>
      </w:r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RNA-seq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miRNA,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lastRenderedPageBreak/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R package </w:t>
      </w:r>
      <w:r>
        <w:rPr>
          <w:rFonts w:hint="eastAsia"/>
          <w:i/>
          <w:szCs w:val="28"/>
        </w:rPr>
        <w:t>edgeR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RNA-seq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>For miRNA expression, we calculated the read counts of each mature miRNA from the isoform quantification files, in which mature miRNA IDs are updated based on miRBase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>d by the Ensembl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lncRNA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>he circRNA</w:t>
      </w:r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>by extracting the overlap of circRNA transcripts that are from both MiOncoCirc and circBase.</w:t>
      </w:r>
      <w:r>
        <w:t xml:space="preserve"> Furthermore, the miRNAs</w:t>
      </w:r>
      <w:r>
        <w:rPr>
          <w:rFonts w:hint="eastAsia"/>
        </w:rPr>
        <w:t xml:space="preserve">, </w:t>
      </w:r>
      <w:r>
        <w:t xml:space="preserve">lncRNAs, </w:t>
      </w:r>
      <w:r>
        <w:rPr>
          <w:rFonts w:hint="eastAsia"/>
        </w:rPr>
        <w:t>RBP (mRNA), and circRNA</w:t>
      </w:r>
      <w:r>
        <w:t>s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ncRNA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(log</w:t>
      </w:r>
      <w:r>
        <w:rPr>
          <w:rFonts w:eastAsia="宋体"/>
          <w:bCs/>
        </w:rPr>
        <w:t>FC</w:t>
      </w:r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579DD" w:rsidRPr="00FB417A" w:rsidRDefault="003579DD" w:rsidP="003579DD">
      <w:pPr>
        <w:spacing w:before="120" w:after="120"/>
        <w:ind w:firstLine="482"/>
        <w:rPr>
          <w:rFonts w:eastAsia="宋体" w:cs="Times New Roman"/>
          <w:b/>
        </w:rPr>
      </w:pPr>
      <w:r w:rsidRPr="00FB417A">
        <w:rPr>
          <w:rFonts w:eastAsia="宋体" w:cs="Times New Roman"/>
          <w:b/>
        </w:rPr>
        <w:t>Survival analysis</w:t>
      </w:r>
    </w:p>
    <w:p w:rsidR="003579DD" w:rsidRPr="00FB417A" w:rsidRDefault="003579DD" w:rsidP="003579DD">
      <w:pPr>
        <w:spacing w:before="120" w:after="120"/>
        <w:ind w:firstLine="480"/>
        <w:rPr>
          <w:rFonts w:cs="Times New Roman"/>
          <w:bCs/>
        </w:rPr>
      </w:pPr>
      <w:r w:rsidRPr="00FB417A">
        <w:rPr>
          <w:rFonts w:eastAsia="宋体" w:cs="Times New Roman"/>
        </w:rPr>
        <w:t xml:space="preserve">The corresponding clinical data such as </w:t>
      </w:r>
      <w:r w:rsidRPr="00FB417A">
        <w:rPr>
          <w:rFonts w:eastAsia="宋体" w:cs="Times New Roman"/>
          <w:szCs w:val="28"/>
        </w:rPr>
        <w:t>survival time</w:t>
      </w:r>
      <w:r w:rsidRPr="00FB417A">
        <w:rPr>
          <w:rFonts w:eastAsia="宋体" w:cs="Times New Roman"/>
        </w:rPr>
        <w:t xml:space="preserve"> </w:t>
      </w:r>
      <w:r w:rsidRPr="00FB417A">
        <w:rPr>
          <w:rFonts w:eastAsia="宋体" w:cs="Times New Roman"/>
          <w:szCs w:val="28"/>
        </w:rPr>
        <w:t>can also be used</w:t>
      </w:r>
      <w:r w:rsidRPr="00FB417A">
        <w:rPr>
          <w:rFonts w:cs="Times New Roman"/>
          <w:bCs/>
        </w:rPr>
        <w:t xml:space="preserve">. The </w:t>
      </w:r>
      <w:r w:rsidRPr="00FB417A">
        <w:rPr>
          <w:rFonts w:cs="Times New Roman"/>
          <w:bCs/>
          <w:i/>
        </w:rPr>
        <w:t>fRNC</w:t>
      </w:r>
      <w:r w:rsidRPr="00FB417A">
        <w:rPr>
          <w:rFonts w:cs="Times New Roman"/>
          <w:bCs/>
        </w:rPr>
        <w:t xml:space="preserve"> package evaluates each gene (node) by calculating the </w:t>
      </w:r>
      <w:r w:rsidRPr="00FB417A">
        <w:rPr>
          <w:rFonts w:cs="Times New Roman"/>
          <w:bCs/>
          <w:i/>
        </w:rPr>
        <w:t>P</w:t>
      </w:r>
      <w:r w:rsidRPr="00FB417A">
        <w:rPr>
          <w:rFonts w:cs="Times New Roman"/>
          <w:bCs/>
        </w:rPr>
        <w:t xml:space="preserve">-values from a univariable Cox proportional hazards regression model with the R package </w:t>
      </w:r>
      <w:r w:rsidRPr="00FB417A">
        <w:rPr>
          <w:rFonts w:cs="Times New Roman"/>
          <w:bCs/>
          <w:i/>
        </w:rPr>
        <w:t>survival</w:t>
      </w:r>
      <w:r w:rsidRPr="00FB417A">
        <w:rPr>
          <w:rFonts w:cs="Times New Roman"/>
          <w:bCs/>
        </w:rPr>
        <w:t xml:space="preserve">, which quantifies how significantly the expression data of </w:t>
      </w:r>
      <w:r w:rsidRPr="00FB417A">
        <w:rPr>
          <w:rFonts w:eastAsia="宋体" w:cs="Times New Roman"/>
          <w:bCs/>
        </w:rPr>
        <w:t>the node correlated</w:t>
      </w:r>
      <w:r w:rsidRPr="00FB417A">
        <w:rPr>
          <w:rFonts w:cs="Times New Roman"/>
          <w:bCs/>
        </w:rPr>
        <w:t xml:space="preserve"> with the </w:t>
      </w:r>
      <w:r w:rsidRPr="00FB417A">
        <w:rPr>
          <w:rFonts w:cs="Times New Roman"/>
        </w:rPr>
        <w:t>corresponding patient clinical data</w:t>
      </w:r>
      <w:r w:rsidRPr="00FB417A">
        <w:rPr>
          <w:rFonts w:cs="Times New Roman"/>
          <w:bCs/>
        </w:rPr>
        <w:t>.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Identification of the dysregulated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 xml:space="preserve">The fRNC package contains two sub-network searching algorithms: fast exact and greedy search approach. When users choose the method of "global", the fast exact approach was used to calculate high-scoring RNC from the whole network. The </w:t>
      </w:r>
      <w:r w:rsidRPr="0081658F">
        <w:rPr>
          <w:rFonts w:eastAsia="宋体"/>
        </w:rPr>
        <w:lastRenderedPageBreak/>
        <w:t>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>1. Given a set of P values from either differentially</w:t>
      </w:r>
      <w:r w:rsidR="0054146F">
        <w:rPr>
          <w:rFonts w:eastAsia="宋体"/>
        </w:rPr>
        <w:t xml:space="preserve"> analysis or survival analysis</w:t>
      </w:r>
      <w:r w:rsidR="0054146F">
        <w:rPr>
          <w:rFonts w:eastAsia="宋体" w:hint="eastAsia"/>
        </w:rPr>
        <w:t xml:space="preserve">. </w:t>
      </w:r>
      <w:r w:rsidR="00C826FC" w:rsidRPr="002963AB">
        <w:rPr>
          <w:rFonts w:ascii="TimesNewRomanPSMT" w:hAnsi="TimesNewRomanPSMT"/>
          <w:color w:val="00000A"/>
        </w:rPr>
        <w:t>Model p-value distribution according to Beta-Uniform Mixture (BUM) model</w:t>
      </w:r>
      <w:r w:rsidR="00C826FC">
        <w:rPr>
          <w:rFonts w:hint="eastAsia"/>
        </w:rPr>
        <w:t>.</w:t>
      </w:r>
      <w:r w:rsidR="006E4B96">
        <w:rPr>
          <w:rFonts w:hint="eastAsi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>A</w:t>
      </w:r>
      <w:r w:rsidR="00F023FD" w:rsidRPr="00CE6118">
        <w:rPr>
          <w:rFonts w:ascii="TimesNewRomanPSMT" w:hAnsi="TimesNewRomanPSMT"/>
          <w:color w:val="00000A"/>
        </w:rPr>
        <w:t>djusted</w:t>
      </w:r>
      <w:r w:rsidR="00F023FD">
        <w:rPr>
          <w:rFonts w:ascii="TimesNewRomanPSMT" w:hAnsi="TimesNewRomanPSMT" w:hint="eastAsia"/>
          <w:color w:val="00000A"/>
        </w:rPr>
        <w:t xml:space="preserve"> </w:t>
      </w:r>
      <w:r w:rsidR="00F023FD" w:rsidRPr="00CE6118">
        <w:rPr>
          <w:rFonts w:ascii="TimesNewRomanPSMT" w:hAnsi="TimesNewRomanPSMT" w:hint="eastAsia"/>
          <w:color w:val="00000A"/>
        </w:rPr>
        <w:t>P values</w:t>
      </w:r>
      <w:r w:rsidR="00F023FD" w:rsidRPr="005E3FC0">
        <w:rPr>
          <w:rFonts w:ascii="TimesNewRomanPSMT" w:hAnsi="TimesNewRomanPSMT"/>
          <w:color w:val="00000A"/>
        </w:rPr>
        <w:t xml:space="preserve"> are first transformed to a node score </w:t>
      </w:r>
      <w:r w:rsidR="00F023FD" w:rsidRPr="005E3FC0">
        <w:rPr>
          <w:rFonts w:ascii="TimesNewRomanPSMT" w:hAnsi="TimesNewRomanPSMT" w:hint="eastAsia"/>
          <w:color w:val="00000A"/>
        </w:rPr>
        <w:t>with the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 w:rsidRPr="005E3FC0">
        <w:rPr>
          <w:rFonts w:ascii="TimesNewRomanPSMT" w:hAnsi="TimesNewRomanPSMT" w:hint="eastAsia"/>
          <w:color w:val="00000A"/>
        </w:rPr>
        <w:t xml:space="preserve">function </w:t>
      </w:r>
      <w:r w:rsidR="00F023FD" w:rsidRPr="00AE6AF3">
        <w:rPr>
          <w:rFonts w:ascii="TimesNewRomanPSMT" w:hAnsi="TimesNewRomanPSMT"/>
          <w:i/>
          <w:color w:val="00000A"/>
        </w:rPr>
        <w:t>scoreNodes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 xml:space="preserve">with the FDR </w:t>
      </w:r>
      <w:r w:rsidR="00F023FD" w:rsidRPr="005E3FC0">
        <w:rPr>
          <w:rFonts w:ascii="TimesNewRomanPSMT" w:hAnsi="TimesNewRomanPSMT"/>
          <w:color w:val="00000A"/>
        </w:rPr>
        <w:t xml:space="preserve">in the R </w:t>
      </w:r>
      <w:r w:rsidR="00F023FD" w:rsidRPr="00CE6118">
        <w:rPr>
          <w:rFonts w:ascii="TimesNewRomanPSMT" w:hAnsi="TimesNewRomanPSMT"/>
          <w:color w:val="00000A"/>
        </w:rPr>
        <w:t>package BioNet</w:t>
      </w:r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All paths between positive meta-nodes are calculated based on the minimum spanning tree (MST) of these edge scores. It can </w:t>
      </w:r>
      <w:r w:rsidRPr="0054146F">
        <w:t>include</w:t>
      </w:r>
      <w:r w:rsidRPr="0081658F">
        <w:rPr>
          <w:rFonts w:cs="Times New Roman"/>
        </w:rPr>
        <w:t xml:space="preserve"> negative scoring nodes.</w:t>
      </w:r>
    </w:p>
    <w:p w:rsidR="0090189C" w:rsidRPr="0081658F" w:rsidRDefault="0026064B" w:rsidP="0054146F">
      <w:r>
        <w:rPr>
          <w:rFonts w:hint="eastAsia"/>
        </w:rPr>
        <w:tab/>
      </w:r>
      <w:r w:rsidR="0090189C" w:rsidRPr="0081658F"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7.5pt" o:ole="">
            <v:imagedata r:id="rId12" o:title=""/>
          </v:shape>
          <o:OLEObject Type="Embed" ProgID="Equation.DSMT4" ShapeID="_x0000_i1025" DrawAspect="Content" ObjectID="_1725723141" r:id="rId1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 xml:space="preserve">) </w:t>
      </w:r>
      <w:r w:rsidR="00B87410">
        <w:rPr>
          <w:rFonts w:cs="Times New Roman" w:hint="eastAsia"/>
        </w:rPr>
        <w:t xml:space="preserve">or </w:t>
      </w:r>
      <w:r w:rsidR="00B87410" w:rsidRPr="00121ACD">
        <w:rPr>
          <w:rFonts w:eastAsia="宋体"/>
          <w:kern w:val="0"/>
        </w:rPr>
        <w:t>z</w:t>
      </w:r>
      <w:r w:rsidR="00B87410" w:rsidRPr="00AD0CA6">
        <w:rPr>
          <w:rFonts w:eastAsia="宋体"/>
          <w:kern w:val="0"/>
          <w:vertAlign w:val="subscript"/>
        </w:rPr>
        <w:t>node</w:t>
      </w:r>
      <w:r w:rsidR="00B87410" w:rsidRPr="00121ACD">
        <w:rPr>
          <w:rFonts w:eastAsia="宋体"/>
          <w:kern w:val="0"/>
        </w:rPr>
        <w:t xml:space="preserve"> =</w:t>
      </w:r>
      <w:r w:rsidR="00B87410">
        <w:rPr>
          <w:rFonts w:eastAsia="宋体" w:hint="eastAsia"/>
          <w:kern w:val="0"/>
        </w:rPr>
        <w:t xml:space="preserve"> </w:t>
      </w:r>
      <w:r w:rsidR="00B87410" w:rsidRPr="00583818">
        <w:rPr>
          <w:rFonts w:cs="Times New Roman"/>
          <w:i/>
          <w:iCs/>
        </w:rPr>
        <w:t>φ</w:t>
      </w:r>
      <w:r w:rsidR="00B87410" w:rsidRPr="00583818">
        <w:rPr>
          <w:rFonts w:cs="Times New Roman"/>
          <w:vertAlign w:val="superscript"/>
        </w:rPr>
        <w:t>-1</w:t>
      </w:r>
      <w:r w:rsidR="00B87410" w:rsidRPr="00121ACD">
        <w:rPr>
          <w:rFonts w:eastAsia="宋体"/>
          <w:kern w:val="0"/>
        </w:rPr>
        <w:t>(1 -</w:t>
      </w:r>
      <w:r w:rsidR="00B87410">
        <w:rPr>
          <w:rFonts w:eastAsia="宋体" w:hint="eastAsia"/>
          <w:kern w:val="0"/>
        </w:rPr>
        <w:t xml:space="preserve"> </w:t>
      </w:r>
      <w:r w:rsidR="00B87410" w:rsidRPr="00233551">
        <w:rPr>
          <w:rFonts w:cs="Times New Roman"/>
          <w:i/>
          <w:iCs/>
        </w:rPr>
        <w:t>φ</w:t>
      </w:r>
      <w:r w:rsidR="00B87410">
        <w:rPr>
          <w:rFonts w:eastAsia="宋体" w:hint="eastAsia"/>
          <w:kern w:val="0"/>
        </w:rPr>
        <w:t>(</w:t>
      </w:r>
      <w:r w:rsidR="00B87410">
        <w:t>(−log10</w:t>
      </w:r>
      <w:r w:rsidR="00B87410" w:rsidRPr="00583818">
        <w:rPr>
          <w:rFonts w:cs="Times New Roman"/>
          <w:i/>
          <w:iCs/>
        </w:rPr>
        <w:t>p</w:t>
      </w:r>
      <w:r w:rsidR="00B87410">
        <w:t>)·|log2FC|</w:t>
      </w:r>
      <w:r w:rsidR="00B87410">
        <w:rPr>
          <w:rFonts w:eastAsia="宋体" w:hint="eastAsia"/>
          <w:kern w:val="0"/>
        </w:rPr>
        <w:t>)</w:t>
      </w:r>
      <w:r w:rsidR="00B87410" w:rsidRPr="00121ACD">
        <w:rPr>
          <w:rFonts w:eastAsia="宋体"/>
          <w:kern w:val="0"/>
        </w:rPr>
        <w:t>)</w:t>
      </w:r>
      <w:r w:rsidR="00B87410" w:rsidRPr="0081658F">
        <w:rPr>
          <w:rFonts w:cs="Times New Roman"/>
        </w:rPr>
        <w:t xml:space="preserve"> </w:t>
      </w:r>
      <w:r w:rsidRPr="0081658F">
        <w:rPr>
          <w:rFonts w:cs="Times New Roman"/>
        </w:rPr>
        <w:t>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6" type="#_x0000_t75" style="width:81.5pt;height:31pt" o:ole="">
            <v:imagedata r:id="rId14" o:title=""/>
          </v:shape>
          <o:OLEObject Type="Embed" ProgID="Equation.DSMT4" ShapeID="_x0000_i1026" DrawAspect="Content" ObjectID="_1725723142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7" type="#_x0000_t75" style="width:135pt;height:55.5pt" o:ole="">
            <v:imagedata r:id="rId16" o:title=""/>
          </v:shape>
          <o:OLEObject Type="Embed" ProgID="Equation.DSMT4" ShapeID="_x0000_i1027" DrawAspect="Content" ObjectID="_1725723143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8" type="#_x0000_t75" style="width:147.5pt;height:21pt" o:ole="">
            <v:imagedata r:id="rId18" o:title=""/>
          </v:shape>
          <o:OLEObject Type="Embed" ProgID="Equation.DSMT4" ShapeID="_x0000_i1028" DrawAspect="Content" ObjectID="_1725723144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lastRenderedPageBreak/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29" type="#_x0000_t75" style="width:192.5pt;height:42pt" o:ole="">
            <v:imagedata r:id="rId20" o:title=""/>
          </v:shape>
          <o:OLEObject Type="Embed" ProgID="Equation.DSMT4" ShapeID="_x0000_i1029" DrawAspect="Content" ObjectID="_1725723145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n</w:t>
      </w:r>
      <w:r w:rsidRPr="0081658F">
        <w:rPr>
          <w:rFonts w:cs="Times New Roman"/>
          <w:i/>
          <w:vertAlign w:val="subscript"/>
        </w:rPr>
        <w:t>node</w:t>
      </w:r>
      <w:r w:rsidRPr="0081658F">
        <w:rPr>
          <w:rFonts w:cs="Times New Roman"/>
        </w:rPr>
        <w:t xml:space="preserve"> and </w:t>
      </w:r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1. Assigning a seed node by the user. Firstly, the sub-network only contains the seed node. Z</w:t>
      </w:r>
      <w:r w:rsidRPr="0081658F">
        <w:rPr>
          <w:rFonts w:cs="Times New Roman"/>
          <w:vertAlign w:val="subscript"/>
        </w:rPr>
        <w:t>all</w:t>
      </w:r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 xml:space="preserve">2. Identifying neighborhood nodes, whose shortest path to any node in the sub-network is shorter or equal to a distance </w:t>
      </w:r>
      <w:r w:rsidR="0090189C" w:rsidRPr="0081658F">
        <w:rPr>
          <w:i/>
          <w:iCs/>
        </w:rPr>
        <w:t>d</w:t>
      </w:r>
      <w:r w:rsidR="0090189C" w:rsidRPr="0081658F">
        <w:t xml:space="preserve"> (e.g., </w:t>
      </w:r>
      <w:r w:rsidR="0090189C" w:rsidRPr="0081658F">
        <w:rPr>
          <w:i/>
        </w:rPr>
        <w:t xml:space="preserve">d </w:t>
      </w:r>
      <w:r w:rsidR="0090189C" w:rsidRPr="0081658F">
        <w:t xml:space="preserve">= 2). In other words, identifying the all connected neighborhood nodes with a distance </w:t>
      </w:r>
      <w:r w:rsidR="0090189C" w:rsidRPr="0081658F">
        <w:rPr>
          <w:i/>
          <w:iCs/>
        </w:rPr>
        <w:t>d</w:t>
      </w:r>
      <w:r w:rsidR="0090189C" w:rsidRPr="0081658F">
        <w:t xml:space="preserve"> around the sub-network.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3. Exploring the neighborhood nodes defined in 2 and finding which nodes can generate the maximum increment of Z</w:t>
      </w:r>
      <w:r w:rsidR="0090189C" w:rsidRPr="0081658F">
        <w:rPr>
          <w:vertAlign w:val="subscript"/>
        </w:rPr>
        <w:t>m</w:t>
      </w:r>
      <w:r w:rsidR="0090189C" w:rsidRPr="0081658F">
        <w:t>. If the increment (Z</w:t>
      </w:r>
      <w:r w:rsidR="0090189C" w:rsidRPr="0081658F">
        <w:rPr>
          <w:vertAlign w:val="subscript"/>
        </w:rPr>
        <w:t>m+1</w:t>
      </w:r>
      <w:r w:rsidR="0090189C" w:rsidRPr="0081658F">
        <w:t xml:space="preserve"> - Z</w:t>
      </w:r>
      <w:r w:rsidR="0090189C" w:rsidRPr="0081658F">
        <w:rPr>
          <w:vertAlign w:val="subscript"/>
        </w:rPr>
        <w:t>m</w:t>
      </w:r>
      <w:r w:rsidR="0090189C" w:rsidRPr="0081658F">
        <w:t>)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 xml:space="preserve">r, </w:t>
      </w:r>
      <w:r w:rsidR="0090189C" w:rsidRPr="0081658F">
        <w:t xml:space="preserve">the nodes will be added into the sub-network, where </w:t>
      </w:r>
      <w:r w:rsidR="0090189C" w:rsidRPr="0081658F">
        <w:rPr>
          <w:i/>
          <w:iCs/>
        </w:rPr>
        <w:t>r</w:t>
      </w:r>
      <w:r w:rsidR="0090189C" w:rsidRPr="0081658F">
        <w:t xml:space="preserve"> is the rate of proportion increment (Z</w:t>
      </w:r>
      <w:r w:rsidR="0090189C" w:rsidRPr="0081658F">
        <w:rPr>
          <w:vertAlign w:val="subscript"/>
        </w:rPr>
        <w:t xml:space="preserve">m+1 &gt; </w:t>
      </w:r>
      <w:r w:rsidR="0090189C" w:rsidRPr="0081658F">
        <w:t>Z</w:t>
      </w:r>
      <w:r w:rsidR="0090189C" w:rsidRPr="0081658F">
        <w:rPr>
          <w:vertAlign w:val="subscript"/>
        </w:rPr>
        <w:t>m</w:t>
      </w:r>
      <w:r w:rsidR="0090189C" w:rsidRPr="0081658F">
        <w:t>×(1+</w:t>
      </w:r>
      <w:r w:rsidR="0090189C" w:rsidRPr="0081658F">
        <w:rPr>
          <w:i/>
          <w:iCs/>
        </w:rPr>
        <w:t>r</w:t>
      </w:r>
      <w:r w:rsidR="0090189C" w:rsidRPr="0081658F">
        <w:t xml:space="preserve">)). Here, the </w:t>
      </w:r>
      <w:r w:rsidR="0090189C" w:rsidRPr="0081658F">
        <w:rPr>
          <w:i/>
          <w:iCs/>
        </w:rPr>
        <w:t>r</w:t>
      </w:r>
      <w:r w:rsidR="0090189C" w:rsidRPr="0081658F">
        <w:t xml:space="preserve"> is set to 0.1.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4. Keeping going 2</w:t>
      </w:r>
      <w:r w:rsidR="0090189C" w:rsidRPr="0081658F">
        <w:rPr>
          <w:rFonts w:ascii="宋体" w:eastAsia="宋体" w:hAnsi="宋体" w:cs="宋体" w:hint="eastAsia"/>
        </w:rPr>
        <w:t>‐</w:t>
      </w:r>
      <w:r w:rsidR="0090189C" w:rsidRPr="0081658F">
        <w:rPr>
          <w:rFonts w:cs="Times New Roman"/>
        </w:rPr>
        <w:t>3 until any neighborhood nodes added into the current sub-network cannot yield an increment th</w:t>
      </w:r>
      <w:r w:rsidR="0090189C" w:rsidRPr="0081658F">
        <w:t>at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>r</w:t>
      </w:r>
      <w:r w:rsidR="0090189C" w:rsidRPr="0081658F"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>random node set in the network. In this way, we randomly sample node sets with the same number 100 000 times. The mean μ</w:t>
      </w:r>
      <w:r w:rsidRPr="0081658F">
        <w:rPr>
          <w:vertAlign w:val="subscript"/>
        </w:rPr>
        <w:t>n</w:t>
      </w:r>
      <w:r w:rsidRPr="0081658F">
        <w:t xml:space="preserve"> and standard deviation </w:t>
      </w:r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0" type="#_x0000_t75" style="width:66.5pt;height:35pt" o:ole="">
            <v:imagedata r:id="rId22" o:title=""/>
          </v:shape>
          <o:OLEObject Type="Embed" ProgID="Equation.DSMT4" ShapeID="_x0000_i1030" DrawAspect="Content" ObjectID="_1725723146" r:id="rId23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>We downloaded miRNA,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r>
        <w:rPr>
          <w:rFonts w:eastAsia="宋体" w:hint="eastAsia"/>
          <w:bCs/>
        </w:rPr>
        <w:t>miRNA-lncRNA and miRNA-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>ssed miRNAs, mRNAs and lncRNAs.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>The major aim of this analysis is to detect ncRNA RNC by the "global" method from miRNA-lncRNA-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miRNA,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miRNAs and mRNAs, and to assign the type attribute to each node. By setting the parameter 'data_type',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library(fRNC)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result_miR &lt;- DEGs(case.exp_miRNA,control.exp_miRNA, geneid= rownames(control.exp_miRNA), data_type = "RNAseq_counts")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data("control.exp_rna")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result_rna &lt;- DEGs(case.exp_rna,control.exp_rna, geneid= rownames(control.exp_rna), data_type = "RNAseq_counts")</w:t>
      </w:r>
    </w:p>
    <w:p w:rsidR="00034ACF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 xml:space="preserve">extract interactions according to stringency with number of supported </w:t>
      </w:r>
      <w:r>
        <w:rPr>
          <w:rFonts w:hint="eastAsia"/>
        </w:rPr>
        <w:lastRenderedPageBreak/>
        <w:t>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>, which belonged to the category " transcriptome"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 xml:space="preserve">. 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interStringency(type = "transcription", spec ="hg",stringency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>[,c("node_gene_ID","type","target_gene_ID")]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nt &lt;- dim(case.exp_miRNA)[2]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nn &lt;- dim(control.exp_miRNA)[2]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case_exp &lt;- rbind(result_miR$Nor_expr[,1:nt],result_rna$Nor_expr[,1:nt])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control_exp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dataNo &lt;- rbind(result_miR$DEGs, result_rna$DEGs)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r w:rsidR="00DD0BCB" w:rsidRPr="00B91D33">
        <w:rPr>
          <w:rFonts w:ascii="Calibri" w:hAnsi="Calibri" w:cs="Calibri"/>
          <w:sz w:val="20"/>
          <w:szCs w:val="20"/>
        </w:rPr>
        <w:t>dataNo</w:t>
      </w:r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logFC    logCPM        LR       PValue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MIMAT0000243 MIMAT0000243 -2.943825 15.018559 125.47230 4.011512e-29 1.785123e-26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MIMAT0004515 MIMAT0004515 -2.185500  4.524324 113.03254 2.122628e-26 4.722847e-24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MIMAT0000265 MIMAT0000265 -4.336164  2.866326 100.66218 1.090888e-23 1.618150e-21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MIMAT0000250 MIMAT0000250 -2.326816  5.734937  94.08695 3.019632e-22 3.359340e-20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MIMAT0004673 MIMAT0004673 -1.670207  3.976708  75.14949 4.363893e-18 3.883865e-16 miRNA</w:t>
      </w:r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MIMAT0000244 MIMAT0000244 -1.401276  9.425463  65.32523 6.350310e-16 4.709813e-14 miRNA</w:t>
      </w:r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>gene2weight &lt;- combinp(dataNo[,c("type","logFC","PValue")], islog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r w:rsidR="005863CE" w:rsidRPr="005863CE">
        <w:rPr>
          <w:rFonts w:ascii="Calibri" w:hAnsi="Calibri" w:cs="Calibri"/>
          <w:sz w:val="20"/>
          <w:szCs w:val="20"/>
        </w:rPr>
        <w:t xml:space="preserve">res.list_global&lt;- runmodule(network = </w:t>
      </w:r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&gt;names(res.list_global)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4" w:history="1">
        <w:r w:rsidR="00375AA3" w:rsidRPr="00375AA3">
          <w:t>circle</w:t>
        </w:r>
      </w:hyperlink>
      <w:r w:rsidR="00375AA3" w:rsidRPr="00375AA3">
        <w:t>, blue diamond, and grey rectangle nodes represent RBPs, lncRNAs, and miRNAs,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A32CB6" w:rsidRDefault="00A32CB6">
      <w:pPr>
        <w:rPr>
          <w:b/>
        </w:rPr>
      </w:pPr>
    </w:p>
    <w:p w:rsidR="00A32CB6" w:rsidRDefault="00AA1D3D">
      <w:pPr>
        <w:rPr>
          <w:b/>
        </w:rPr>
      </w:pPr>
      <w:r>
        <w:rPr>
          <w:rFonts w:hint="eastAsia"/>
          <w:b/>
        </w:rPr>
        <w:lastRenderedPageBreak/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miRNA-lncRNA-RBP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r>
        <w:rPr>
          <w:rFonts w:hint="eastAsia"/>
          <w:bCs/>
          <w:i/>
        </w:rPr>
        <w:t>fRNC</w:t>
      </w:r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miRNA,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library(fRNC)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load("brca_miRNA_re_se.Rdata")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load("brca_RNA_re_se.Rdata")</w:t>
      </w:r>
    </w:p>
    <w:p w:rsidR="003013A6" w:rsidRDefault="003013A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load("brca_pro_re_se.Rdata")</w:t>
      </w:r>
    </w:p>
    <w:p w:rsidR="00A26772" w:rsidRDefault="00863838" w:rsidP="00C902CA">
      <w:r w:rsidRPr="00863838">
        <w:t xml:space="preserve">Expression data of RBP (mRNA) </w:t>
      </w:r>
      <w:r w:rsidR="00C902CA">
        <w:t>was</w:t>
      </w:r>
      <w:r w:rsidR="00C902CA">
        <w:rPr>
          <w:rFonts w:hint="eastAsia"/>
        </w:rPr>
        <w:t xml:space="preserve"> </w:t>
      </w:r>
      <w:r w:rsidRPr="00863838">
        <w:t>removed in RNA-seq</w:t>
      </w:r>
      <w:r w:rsidR="00822DEB"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 &lt;- RNA_re_se$DEGs[,c("genes","logFC","PValue","type")]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RNA_re_se_type_no_RBP &lt;- RNA_re_se_type[which(RNA_re_se_type$type != "rbp"),]</w:t>
      </w:r>
    </w:p>
    <w:p w:rsidR="008F2F3F" w:rsidRPr="008F2F3F" w:rsidRDefault="00F44ED5" w:rsidP="00327372">
      <w:r>
        <w:rPr>
          <w:rFonts w:hint="eastAsia"/>
        </w:rPr>
        <w:t>D</w:t>
      </w:r>
      <w:r w:rsidR="00F35CB0" w:rsidRPr="00F35CB0">
        <w:t>ifferential expression data of miRNA, RBP, lncRNA</w:t>
      </w:r>
      <w:r w:rsidR="00327372" w:rsidRPr="00327372">
        <w:t xml:space="preserve"> </w:t>
      </w:r>
      <w:r w:rsidR="00327372">
        <w:rPr>
          <w:rFonts w:hint="eastAsia"/>
        </w:rPr>
        <w:t>was i</w:t>
      </w:r>
      <w:r w:rsidR="00327372">
        <w:t>ntegrat</w:t>
      </w:r>
      <w:r w:rsidR="00327372">
        <w:rPr>
          <w:rFonts w:hint="eastAsia"/>
        </w:rPr>
        <w:t>ed.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dataN_age_all &lt;- rbind(pro_re_se$DEGs[,c("genes","logFC","PValue","type")], RNA_re_se_type_no_RBP, miRNA_re_se$DEGs[,c("genes","logFC","PValue","type")])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gene2weight_age &lt;- combinp(dataN_age_all[,c("type","logFC","PValue")], islog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interStringency(type = "Protein", spec ="hg",stringency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interac_RBP_age[,c("node_gene_ID","type","target_gene_ID")]</w:t>
      </w:r>
    </w:p>
    <w:p w:rsidR="00A32CB6" w:rsidRDefault="00AA1D3D">
      <w:r>
        <w:rPr>
          <w:rFonts w:hint="eastAsia"/>
        </w:rPr>
        <w:tab/>
        <w:t xml:space="preserve">Based on the </w:t>
      </w:r>
      <w:r>
        <w:rPr>
          <w:rFonts w:hint="eastAsia"/>
          <w:i/>
        </w:rPr>
        <w:t>P</w:t>
      </w:r>
      <w:r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The size of the resultant RNC can also be set with 5-15 by the parameter of "node" in the main function </w:t>
      </w:r>
      <w:r>
        <w:rPr>
          <w:rFonts w:hint="eastAsia"/>
          <w:i/>
          <w:iCs/>
        </w:rPr>
        <w:t>runmodule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runmodule(network = </w:t>
      </w:r>
      <w:r w:rsidR="007E4FD1" w:rsidRPr="008F2F3F">
        <w:rPr>
          <w:rFonts w:ascii="Calibri" w:hAnsi="Calibri" w:cs="Calibri"/>
          <w:sz w:val="20"/>
          <w:szCs w:val="20"/>
        </w:rPr>
        <w:t>interac_RBP_age</w:t>
      </w:r>
      <w:r>
        <w:rPr>
          <w:rFonts w:ascii="Calibri" w:hAnsi="Calibri" w:cs="Calibri"/>
          <w:sz w:val="20"/>
          <w:szCs w:val="20"/>
        </w:rPr>
        <w:t>, gene2weight, metho</w:t>
      </w:r>
      <w:bookmarkStart w:id="1" w:name="_GoBack"/>
      <w:bookmarkEnd w:id="1"/>
      <w:r>
        <w:rPr>
          <w:rFonts w:ascii="Calibri" w:hAnsi="Calibri" w:cs="Calibri"/>
          <w:sz w:val="20"/>
          <w:szCs w:val="20"/>
        </w:rPr>
        <w:t>d = "local", maxsize=15, seletN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CB3BEC">
        <w:t xml:space="preserve"> 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>) can also be saved as XGMML file for 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Default="00AA1D3D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A32CB6">
      <w:pPr>
        <w:rPr>
          <w:vertAlign w:val="subscript"/>
        </w:rPr>
      </w:pPr>
    </w:p>
    <w:p w:rsidR="00A32CB6" w:rsidRDefault="00A32CB6">
      <w:pPr>
        <w:rPr>
          <w:vertAlign w:val="subscript"/>
        </w:rPr>
      </w:pP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9D7055">
        <w:rPr>
          <w:b/>
          <w:sz w:val="21"/>
          <w:szCs w:val="21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768" w:rsidRDefault="009E4768" w:rsidP="00883280">
      <w:pPr>
        <w:spacing w:line="240" w:lineRule="auto"/>
      </w:pPr>
      <w:r>
        <w:separator/>
      </w:r>
    </w:p>
  </w:endnote>
  <w:endnote w:type="continuationSeparator" w:id="0">
    <w:p w:rsidR="009E4768" w:rsidRDefault="009E4768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1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768" w:rsidRDefault="009E4768" w:rsidP="00883280">
      <w:pPr>
        <w:spacing w:line="240" w:lineRule="auto"/>
      </w:pPr>
      <w:r>
        <w:separator/>
      </w:r>
    </w:p>
  </w:footnote>
  <w:footnote w:type="continuationSeparator" w:id="0">
    <w:p w:rsidR="009E4768" w:rsidRDefault="009E4768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rgUAslxXjiwAAAA="/>
  </w:docVars>
  <w:rsids>
    <w:rsidRoot w:val="008F6338"/>
    <w:rsid w:val="00010149"/>
    <w:rsid w:val="00015907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B5"/>
    <w:rsid w:val="000574FC"/>
    <w:rsid w:val="00071D93"/>
    <w:rsid w:val="00082569"/>
    <w:rsid w:val="00082F4D"/>
    <w:rsid w:val="000935D1"/>
    <w:rsid w:val="00096ED3"/>
    <w:rsid w:val="000A208F"/>
    <w:rsid w:val="000A232A"/>
    <w:rsid w:val="000A7B5C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5C72"/>
    <w:rsid w:val="000F6D96"/>
    <w:rsid w:val="001041DD"/>
    <w:rsid w:val="00104D8B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C0181"/>
    <w:rsid w:val="001C7DD2"/>
    <w:rsid w:val="001D22C5"/>
    <w:rsid w:val="001D36F7"/>
    <w:rsid w:val="001E4054"/>
    <w:rsid w:val="001F0F15"/>
    <w:rsid w:val="001F2BD6"/>
    <w:rsid w:val="001F7243"/>
    <w:rsid w:val="00233665"/>
    <w:rsid w:val="00236021"/>
    <w:rsid w:val="002367D1"/>
    <w:rsid w:val="0026064B"/>
    <w:rsid w:val="00271261"/>
    <w:rsid w:val="00272B1B"/>
    <w:rsid w:val="00275206"/>
    <w:rsid w:val="00280318"/>
    <w:rsid w:val="00290465"/>
    <w:rsid w:val="002940DB"/>
    <w:rsid w:val="002A4C01"/>
    <w:rsid w:val="002B444C"/>
    <w:rsid w:val="002B54B6"/>
    <w:rsid w:val="002B7722"/>
    <w:rsid w:val="002C28A4"/>
    <w:rsid w:val="002C3739"/>
    <w:rsid w:val="002D519A"/>
    <w:rsid w:val="002D5D98"/>
    <w:rsid w:val="002E188C"/>
    <w:rsid w:val="002E520C"/>
    <w:rsid w:val="003013A6"/>
    <w:rsid w:val="00303312"/>
    <w:rsid w:val="00305855"/>
    <w:rsid w:val="00314910"/>
    <w:rsid w:val="00317D0F"/>
    <w:rsid w:val="00322E0F"/>
    <w:rsid w:val="00327372"/>
    <w:rsid w:val="00333245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B0F57"/>
    <w:rsid w:val="003B39A5"/>
    <w:rsid w:val="003B435C"/>
    <w:rsid w:val="003B672F"/>
    <w:rsid w:val="003C5A1C"/>
    <w:rsid w:val="003D6D82"/>
    <w:rsid w:val="003E1AE0"/>
    <w:rsid w:val="003E3E9F"/>
    <w:rsid w:val="003F2035"/>
    <w:rsid w:val="004016B0"/>
    <w:rsid w:val="0042653A"/>
    <w:rsid w:val="004538F0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F333F"/>
    <w:rsid w:val="00530FBC"/>
    <w:rsid w:val="00533E56"/>
    <w:rsid w:val="00536D96"/>
    <w:rsid w:val="0054129F"/>
    <w:rsid w:val="00541319"/>
    <w:rsid w:val="0054146F"/>
    <w:rsid w:val="005478EA"/>
    <w:rsid w:val="00553C12"/>
    <w:rsid w:val="00564174"/>
    <w:rsid w:val="00564709"/>
    <w:rsid w:val="00570AF0"/>
    <w:rsid w:val="00572037"/>
    <w:rsid w:val="00582DF8"/>
    <w:rsid w:val="005863CE"/>
    <w:rsid w:val="00590252"/>
    <w:rsid w:val="00597218"/>
    <w:rsid w:val="00597EDE"/>
    <w:rsid w:val="005A3E98"/>
    <w:rsid w:val="005A6328"/>
    <w:rsid w:val="005C5AC8"/>
    <w:rsid w:val="005C607B"/>
    <w:rsid w:val="005C6523"/>
    <w:rsid w:val="005F3E03"/>
    <w:rsid w:val="006130DB"/>
    <w:rsid w:val="00613706"/>
    <w:rsid w:val="00615097"/>
    <w:rsid w:val="00621850"/>
    <w:rsid w:val="00633265"/>
    <w:rsid w:val="0064241C"/>
    <w:rsid w:val="006442C7"/>
    <w:rsid w:val="00651764"/>
    <w:rsid w:val="00656A14"/>
    <w:rsid w:val="006577CF"/>
    <w:rsid w:val="00664DF2"/>
    <w:rsid w:val="00670517"/>
    <w:rsid w:val="0067160D"/>
    <w:rsid w:val="00683D59"/>
    <w:rsid w:val="006859B1"/>
    <w:rsid w:val="00690616"/>
    <w:rsid w:val="006A11CA"/>
    <w:rsid w:val="006A17D6"/>
    <w:rsid w:val="006A52A4"/>
    <w:rsid w:val="006B2463"/>
    <w:rsid w:val="006B6A39"/>
    <w:rsid w:val="006E4B96"/>
    <w:rsid w:val="006F2B09"/>
    <w:rsid w:val="006F3B09"/>
    <w:rsid w:val="00703304"/>
    <w:rsid w:val="00706E7D"/>
    <w:rsid w:val="00710AAB"/>
    <w:rsid w:val="00710E39"/>
    <w:rsid w:val="00714C25"/>
    <w:rsid w:val="007264F6"/>
    <w:rsid w:val="007278BB"/>
    <w:rsid w:val="00734BBC"/>
    <w:rsid w:val="00741D43"/>
    <w:rsid w:val="00743AE4"/>
    <w:rsid w:val="00745172"/>
    <w:rsid w:val="007540E0"/>
    <w:rsid w:val="00764A5B"/>
    <w:rsid w:val="00765550"/>
    <w:rsid w:val="007976C0"/>
    <w:rsid w:val="007A342A"/>
    <w:rsid w:val="007A4958"/>
    <w:rsid w:val="007B564B"/>
    <w:rsid w:val="007C0099"/>
    <w:rsid w:val="007C25BF"/>
    <w:rsid w:val="007C2934"/>
    <w:rsid w:val="007C6262"/>
    <w:rsid w:val="007D3832"/>
    <w:rsid w:val="007E4CCB"/>
    <w:rsid w:val="007E4FD1"/>
    <w:rsid w:val="007E54E0"/>
    <w:rsid w:val="007F26DE"/>
    <w:rsid w:val="0080469F"/>
    <w:rsid w:val="00807682"/>
    <w:rsid w:val="00817EE1"/>
    <w:rsid w:val="00822DEB"/>
    <w:rsid w:val="00824759"/>
    <w:rsid w:val="00840C17"/>
    <w:rsid w:val="008458B0"/>
    <w:rsid w:val="00855B65"/>
    <w:rsid w:val="00863838"/>
    <w:rsid w:val="00870398"/>
    <w:rsid w:val="008731DB"/>
    <w:rsid w:val="0087330F"/>
    <w:rsid w:val="00873816"/>
    <w:rsid w:val="00881EF1"/>
    <w:rsid w:val="00883280"/>
    <w:rsid w:val="008A46E0"/>
    <w:rsid w:val="008A6906"/>
    <w:rsid w:val="008B4C4F"/>
    <w:rsid w:val="008B6048"/>
    <w:rsid w:val="008C0FF2"/>
    <w:rsid w:val="008C71B1"/>
    <w:rsid w:val="008D2E5A"/>
    <w:rsid w:val="008F25A6"/>
    <w:rsid w:val="008F2F3F"/>
    <w:rsid w:val="008F6338"/>
    <w:rsid w:val="008F745F"/>
    <w:rsid w:val="0090189C"/>
    <w:rsid w:val="00906CC2"/>
    <w:rsid w:val="00922268"/>
    <w:rsid w:val="00924A4D"/>
    <w:rsid w:val="009269B8"/>
    <w:rsid w:val="00931D20"/>
    <w:rsid w:val="00934A12"/>
    <w:rsid w:val="0094110E"/>
    <w:rsid w:val="00947357"/>
    <w:rsid w:val="009653FF"/>
    <w:rsid w:val="00966516"/>
    <w:rsid w:val="009770A9"/>
    <w:rsid w:val="009800C8"/>
    <w:rsid w:val="0098674B"/>
    <w:rsid w:val="009917D6"/>
    <w:rsid w:val="009B025E"/>
    <w:rsid w:val="009C6DB9"/>
    <w:rsid w:val="009C774D"/>
    <w:rsid w:val="009D4F31"/>
    <w:rsid w:val="009D6D76"/>
    <w:rsid w:val="009D7055"/>
    <w:rsid w:val="009D7953"/>
    <w:rsid w:val="009E1C88"/>
    <w:rsid w:val="009E4768"/>
    <w:rsid w:val="009E583B"/>
    <w:rsid w:val="00A04DD4"/>
    <w:rsid w:val="00A054A6"/>
    <w:rsid w:val="00A1630A"/>
    <w:rsid w:val="00A26772"/>
    <w:rsid w:val="00A32CB6"/>
    <w:rsid w:val="00A334A8"/>
    <w:rsid w:val="00A35A0D"/>
    <w:rsid w:val="00A40EC2"/>
    <w:rsid w:val="00A42CAB"/>
    <w:rsid w:val="00A46272"/>
    <w:rsid w:val="00A52680"/>
    <w:rsid w:val="00A55A47"/>
    <w:rsid w:val="00A71382"/>
    <w:rsid w:val="00A71447"/>
    <w:rsid w:val="00A71FE3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D662E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20AE6"/>
    <w:rsid w:val="00B42400"/>
    <w:rsid w:val="00B51CC3"/>
    <w:rsid w:val="00B52F75"/>
    <w:rsid w:val="00B54E60"/>
    <w:rsid w:val="00B60994"/>
    <w:rsid w:val="00B6746A"/>
    <w:rsid w:val="00B773CD"/>
    <w:rsid w:val="00B822E8"/>
    <w:rsid w:val="00B87410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662FF"/>
    <w:rsid w:val="00C826FC"/>
    <w:rsid w:val="00C83C9E"/>
    <w:rsid w:val="00C902CA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6BEB"/>
    <w:rsid w:val="00CF2893"/>
    <w:rsid w:val="00D02BB2"/>
    <w:rsid w:val="00D04AA9"/>
    <w:rsid w:val="00D1308C"/>
    <w:rsid w:val="00D267F0"/>
    <w:rsid w:val="00D31004"/>
    <w:rsid w:val="00D4109A"/>
    <w:rsid w:val="00D56057"/>
    <w:rsid w:val="00D56DC0"/>
    <w:rsid w:val="00DB2B1F"/>
    <w:rsid w:val="00DB2CCA"/>
    <w:rsid w:val="00DC6F25"/>
    <w:rsid w:val="00DD0BCB"/>
    <w:rsid w:val="00DE2AD5"/>
    <w:rsid w:val="00DE46BE"/>
    <w:rsid w:val="00DF4729"/>
    <w:rsid w:val="00E02064"/>
    <w:rsid w:val="00E23416"/>
    <w:rsid w:val="00E243FA"/>
    <w:rsid w:val="00E32FDC"/>
    <w:rsid w:val="00E343DA"/>
    <w:rsid w:val="00E421CE"/>
    <w:rsid w:val="00E5475C"/>
    <w:rsid w:val="00E60830"/>
    <w:rsid w:val="00E63752"/>
    <w:rsid w:val="00E6763E"/>
    <w:rsid w:val="00E705ED"/>
    <w:rsid w:val="00E70B45"/>
    <w:rsid w:val="00E737F0"/>
    <w:rsid w:val="00E80B77"/>
    <w:rsid w:val="00E84C80"/>
    <w:rsid w:val="00E90A09"/>
    <w:rsid w:val="00E90FB0"/>
    <w:rsid w:val="00E96D2B"/>
    <w:rsid w:val="00EA13C4"/>
    <w:rsid w:val="00EA1BCD"/>
    <w:rsid w:val="00EA34F5"/>
    <w:rsid w:val="00EA46D3"/>
    <w:rsid w:val="00EB0B94"/>
    <w:rsid w:val="00EB2F53"/>
    <w:rsid w:val="00EC13EA"/>
    <w:rsid w:val="00EC1E7C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F023FD"/>
    <w:rsid w:val="00F02463"/>
    <w:rsid w:val="00F03BF9"/>
    <w:rsid w:val="00F1190F"/>
    <w:rsid w:val="00F25585"/>
    <w:rsid w:val="00F30C9E"/>
    <w:rsid w:val="00F35CB0"/>
    <w:rsid w:val="00F44ED5"/>
    <w:rsid w:val="00F551E4"/>
    <w:rsid w:val="00F81D7D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tif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image" Target="media/image9.tif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4954</Words>
  <Characters>10998</Characters>
  <Application>Microsoft Office Word</Application>
  <DocSecurity>0</DocSecurity>
  <Lines>343</Lines>
  <Paragraphs>231</Paragraphs>
  <ScaleCrop>false</ScaleCrop>
  <Company>Organization</Company>
  <LinksUpToDate>false</LinksUpToDate>
  <CharactersWithSpaces>15721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377</cp:revision>
  <dcterms:created xsi:type="dcterms:W3CDTF">2020-12-27T10:22:00Z</dcterms:created>
  <dcterms:modified xsi:type="dcterms:W3CDTF">2022-09-26T03:02:00Z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