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C7" w:rsidRDefault="00C77592">
      <w:pPr>
        <w:pStyle w:val="Title"/>
      </w:pPr>
      <w:r>
        <w:t>Differential methylation analysis (of Processed Data) with limma</w:t>
      </w:r>
    </w:p>
    <w:p w:rsidR="00204CC7" w:rsidRDefault="00C77592" w:rsidP="00750E59">
      <w:pPr>
        <w:pStyle w:val="Author"/>
      </w:pPr>
      <w:r>
        <w:t>Nivretta Thatra</w:t>
      </w:r>
      <w:bookmarkStart w:id="0" w:name="step-0-load-packages-and-data"/>
      <w:bookmarkStart w:id="1" w:name="step-1-id-differentially-methylated-site"/>
      <w:bookmarkStart w:id="2" w:name="step-4-check-for-interaction-effects"/>
      <w:bookmarkEnd w:id="0"/>
      <w:bookmarkEnd w:id="1"/>
      <w:bookmarkEnd w:id="2"/>
    </w:p>
    <w:p w:rsidR="00A70B94" w:rsidRDefault="00A70B94" w:rsidP="00A70B94">
      <w:pPr>
        <w:pStyle w:val="FirstParagraph"/>
      </w:pPr>
      <w:r>
        <w:t xml:space="preserve">Here we used a linear model to identify differentially methylated probes with </w:t>
      </w:r>
      <w:r>
        <w:rPr>
          <w:rStyle w:val="VerbatimChar"/>
        </w:rPr>
        <w:t>limma</w:t>
      </w:r>
      <w:r>
        <w:t xml:space="preserve">, as shown in this older 540 </w:t>
      </w:r>
      <w:hyperlink r:id="rId7">
        <w:r>
          <w:rPr>
            <w:rStyle w:val="Hyperlink"/>
          </w:rPr>
          <w:t>seminar</w:t>
        </w:r>
      </w:hyperlink>
      <w:r>
        <w:t>.</w:t>
      </w:r>
    </w:p>
    <w:p w:rsidR="00750E59" w:rsidRDefault="00A70B94" w:rsidP="00750E59">
      <w:pPr>
        <w:pStyle w:val="FirstParagraph"/>
      </w:pPr>
      <w:r>
        <w:t>We</w:t>
      </w:r>
      <w:r w:rsidR="00750E59">
        <w:t xml:space="preserve"> first</w:t>
      </w:r>
      <w:r>
        <w:t xml:space="preserve"> fit a linear model with ethnicity as the only covariate to obtain top differentially methylated CpG sites</w:t>
      </w:r>
      <w:r w:rsidR="00750E59">
        <w:t xml:space="preserve"> (</w:t>
      </w:r>
      <w:r w:rsidRPr="00A70B94">
        <w:t>testing the null hypothesis that samples in the two ethnic groups are drawn from populations with the</w:t>
      </w:r>
      <w:r w:rsidR="00750E59">
        <w:t xml:space="preserve"> same mean CpG site methylation). U</w:t>
      </w:r>
      <w:r>
        <w:t xml:space="preserve">sing a cutoff of FDR = 0.01, we identified 106 CpG sites that are differentially methylated between Caucasian and Asian genetic ancestry. </w:t>
      </w:r>
    </w:p>
    <w:p w:rsidR="00A70B94" w:rsidRDefault="00750E59" w:rsidP="00A70B94">
      <w:pPr>
        <w:pStyle w:val="FirstParagraph"/>
      </w:pPr>
      <w:r>
        <w:t xml:space="preserve">However, DNA methylation is known to associate with gender, so the interaction effect ethnicity and gender was accounted for in another linear model. </w:t>
      </w:r>
      <w:r w:rsidR="00A70B94">
        <w:t>U</w:t>
      </w:r>
      <w:r w:rsidR="00A70B94">
        <w:t>sing a cutoff of FDR = 0.01, we identified just 13 CpG sites that are differentially methylated between Caucasian and Asian genetic ancestry</w:t>
      </w:r>
      <w:r>
        <w:t>, when the interaction effect of ethnicity and gender was accounted for</w:t>
      </w:r>
      <w:r w:rsidR="00A70B94">
        <w:t>.</w:t>
      </w:r>
      <w:r>
        <w:t xml:space="preserve"> Here are 6 of those sites:</w:t>
      </w:r>
    </w:p>
    <w:p w:rsidR="00A70B94" w:rsidRPr="00A70B94" w:rsidRDefault="00A70B94" w:rsidP="00A70B94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504"/>
        <w:gridCol w:w="1409"/>
        <w:gridCol w:w="1329"/>
        <w:gridCol w:w="1276"/>
        <w:gridCol w:w="979"/>
        <w:gridCol w:w="1329"/>
        <w:gridCol w:w="1329"/>
      </w:tblGrid>
      <w:tr w:rsidR="00C77592">
        <w:tc>
          <w:tcPr>
            <w:tcW w:w="0" w:type="auto"/>
            <w:vAlign w:val="bottom"/>
          </w:tcPr>
          <w:p w:rsidR="00204CC7" w:rsidRDefault="00204CC7"/>
        </w:tc>
        <w:tc>
          <w:tcPr>
            <w:tcW w:w="0" w:type="auto"/>
            <w:vAlign w:val="bottom"/>
          </w:tcPr>
          <w:p w:rsidR="00204CC7" w:rsidRDefault="00C77592">
            <w:pPr>
              <w:pStyle w:val="Compact"/>
              <w:jc w:val="right"/>
            </w:pPr>
            <w:r>
              <w:t>logFC</w:t>
            </w:r>
          </w:p>
        </w:tc>
        <w:tc>
          <w:tcPr>
            <w:tcW w:w="0" w:type="auto"/>
            <w:vAlign w:val="bottom"/>
          </w:tcPr>
          <w:p w:rsidR="00204CC7" w:rsidRDefault="00C77592">
            <w:pPr>
              <w:pStyle w:val="Compact"/>
              <w:jc w:val="right"/>
            </w:pPr>
            <w:r>
              <w:t>AveExpr</w:t>
            </w:r>
          </w:p>
        </w:tc>
        <w:tc>
          <w:tcPr>
            <w:tcW w:w="0" w:type="auto"/>
            <w:vAlign w:val="bottom"/>
          </w:tcPr>
          <w:p w:rsidR="00204CC7" w:rsidRDefault="00C77592">
            <w:pPr>
              <w:pStyle w:val="Compact"/>
              <w:jc w:val="right"/>
            </w:pPr>
            <w:r>
              <w:t>t</w:t>
            </w:r>
          </w:p>
        </w:tc>
        <w:tc>
          <w:tcPr>
            <w:tcW w:w="0" w:type="auto"/>
            <w:vAlign w:val="bottom"/>
          </w:tcPr>
          <w:p w:rsidR="00204CC7" w:rsidRDefault="00C77592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vAlign w:val="bottom"/>
          </w:tcPr>
          <w:p w:rsidR="00204CC7" w:rsidRDefault="00C77592">
            <w:pPr>
              <w:pStyle w:val="Compact"/>
              <w:jc w:val="right"/>
            </w:pPr>
            <w:r>
              <w:t>adj.P.Val</w:t>
            </w:r>
          </w:p>
        </w:tc>
        <w:tc>
          <w:tcPr>
            <w:tcW w:w="0" w:type="auto"/>
            <w:vAlign w:val="bottom"/>
          </w:tcPr>
          <w:p w:rsidR="00204CC7" w:rsidRDefault="00C77592">
            <w:pPr>
              <w:pStyle w:val="Compact"/>
              <w:jc w:val="right"/>
            </w:pPr>
            <w:r>
              <w:t>B</w:t>
            </w:r>
          </w:p>
        </w:tc>
      </w:tr>
      <w:tr w:rsidR="00204CC7">
        <w:tc>
          <w:tcPr>
            <w:tcW w:w="0" w:type="auto"/>
          </w:tcPr>
          <w:p w:rsidR="00204CC7" w:rsidRDefault="00C77592">
            <w:pPr>
              <w:pStyle w:val="Compact"/>
            </w:pPr>
            <w:r>
              <w:t>cg16329197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0.5368513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0.4996451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9.546477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0.0000020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17.319139</w:t>
            </w:r>
          </w:p>
        </w:tc>
      </w:tr>
      <w:tr w:rsidR="00204CC7">
        <w:tc>
          <w:tcPr>
            <w:tcW w:w="0" w:type="auto"/>
          </w:tcPr>
          <w:p w:rsidR="00204CC7" w:rsidRDefault="00C77592">
            <w:pPr>
              <w:pStyle w:val="Compact"/>
            </w:pPr>
            <w:r>
              <w:t>cg25025879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0.4343004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0.4535298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9.205678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0.0000028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16.272412</w:t>
            </w:r>
          </w:p>
        </w:tc>
      </w:tr>
      <w:tr w:rsidR="00204CC7">
        <w:tc>
          <w:tcPr>
            <w:tcW w:w="0" w:type="auto"/>
          </w:tcPr>
          <w:p w:rsidR="00204CC7" w:rsidRDefault="00C77592">
            <w:pPr>
              <w:pStyle w:val="Compact"/>
            </w:pPr>
            <w:r>
              <w:t>cg05393297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0.4229273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0.6325893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8.211144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0.0000427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13.142162</w:t>
            </w:r>
          </w:p>
        </w:tc>
      </w:tr>
      <w:tr w:rsidR="00204CC7">
        <w:tc>
          <w:tcPr>
            <w:tcW w:w="0" w:type="auto"/>
          </w:tcPr>
          <w:p w:rsidR="00204CC7" w:rsidRDefault="00C77592">
            <w:pPr>
              <w:pStyle w:val="Compact"/>
            </w:pPr>
            <w:r>
              <w:t>cg14581129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0.2265901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0.5049442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6.992750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0.0016940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9.185289</w:t>
            </w:r>
          </w:p>
        </w:tc>
      </w:tr>
      <w:tr w:rsidR="00204CC7">
        <w:tc>
          <w:tcPr>
            <w:tcW w:w="0" w:type="auto"/>
          </w:tcPr>
          <w:p w:rsidR="00204CC7" w:rsidRDefault="00C77592">
            <w:pPr>
              <w:pStyle w:val="Compact"/>
            </w:pPr>
            <w:r>
              <w:t>cg26513180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-0.0294624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0.0339633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-6.732052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0.0025085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8.327817</w:t>
            </w:r>
          </w:p>
        </w:tc>
      </w:tr>
      <w:tr w:rsidR="00204CC7">
        <w:tc>
          <w:tcPr>
            <w:tcW w:w="0" w:type="auto"/>
          </w:tcPr>
          <w:p w:rsidR="00204CC7" w:rsidRDefault="00C77592">
            <w:pPr>
              <w:pStyle w:val="Compact"/>
            </w:pPr>
            <w:r>
              <w:t>cg19041462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0.1018915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0.8764931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6.689685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0.0025085</w:t>
            </w:r>
          </w:p>
        </w:tc>
        <w:tc>
          <w:tcPr>
            <w:tcW w:w="0" w:type="auto"/>
          </w:tcPr>
          <w:p w:rsidR="00204CC7" w:rsidRDefault="00C77592">
            <w:pPr>
              <w:pStyle w:val="Compact"/>
              <w:jc w:val="right"/>
            </w:pPr>
            <w:r>
              <w:t>8.188292</w:t>
            </w:r>
          </w:p>
        </w:tc>
      </w:tr>
    </w:tbl>
    <w:p w:rsidR="00204CC7" w:rsidRDefault="00C77592">
      <w:pPr>
        <w:pStyle w:val="Heading2"/>
      </w:pPr>
      <w:bookmarkStart w:id="3" w:name="step-5-plot-top-100-limma-hits-when-acco"/>
      <w:bookmarkEnd w:id="3"/>
      <w:r>
        <w:t>Plot top 100 Limma hits when accounting for Ethnicity and gender interaction effect</w:t>
      </w:r>
    </w:p>
    <w:p w:rsidR="00A70B94" w:rsidRPr="00A70B94" w:rsidRDefault="00A70B94" w:rsidP="00A70B94">
      <w:pPr>
        <w:pStyle w:val="BodyText"/>
      </w:pPr>
      <w:r>
        <w:rPr>
          <w:noProof/>
        </w:rPr>
        <w:drawing>
          <wp:inline distT="0" distB="0" distL="0" distR="0">
            <wp:extent cx="5943600" cy="4248150"/>
            <wp:effectExtent l="0" t="0" r="0" b="0"/>
            <wp:docPr id="4" name="Picture 4" descr="C:\Users\nivretta\AppData\Local\Microsoft\Windows\INetCache\Content.Word\heatmap of beta values of top 100 Limma hits with intera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vretta\AppData\Local\Microsoft\Windows\INetCache\Content.Word\heatmap of beta values of top 100 Limma hits with interaction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94" w:rsidRPr="00A70B94" w:rsidRDefault="00A70B94" w:rsidP="00A70B94">
      <w:pPr>
        <w:pStyle w:val="BodyText"/>
      </w:pPr>
    </w:p>
    <w:p w:rsidR="00204CC7" w:rsidRDefault="00C77592">
      <w:pPr>
        <w:pStyle w:val="Heading2"/>
      </w:pPr>
      <w:bookmarkStart w:id="4" w:name="step-6-check-with-glmnet-predictions"/>
      <w:bookmarkEnd w:id="4"/>
      <w:r>
        <w:t xml:space="preserve">Check </w:t>
      </w:r>
      <w:r w:rsidR="00750E59">
        <w:t xml:space="preserve">overlap </w:t>
      </w:r>
      <w:r>
        <w:t>with GLMnet predictions</w:t>
      </w:r>
    </w:p>
    <w:p w:rsidR="00204CC7" w:rsidRDefault="00750E59">
      <w:pPr>
        <w:pStyle w:val="FirstParagraph"/>
      </w:pPr>
      <w:r>
        <w:t>T</w:t>
      </w:r>
      <w:r w:rsidR="00C77592">
        <w:t>here is</w:t>
      </w:r>
      <w:r>
        <w:t xml:space="preserve"> an</w:t>
      </w:r>
      <w:r w:rsidR="00C77592">
        <w:t xml:space="preserve"> overlap </w:t>
      </w:r>
      <w:r>
        <w:t xml:space="preserve">of 5 CpG sites </w:t>
      </w:r>
      <w:r w:rsidR="00C77592">
        <w:t xml:space="preserve">between the </w:t>
      </w:r>
      <w:r>
        <w:t xml:space="preserve">those </w:t>
      </w:r>
      <w:r w:rsidR="00C77592">
        <w:t xml:space="preserve">detected by GLMnet and the ones detected in linear regression analysis. </w:t>
      </w:r>
    </w:p>
    <w:p w:rsidR="000156BF" w:rsidRDefault="00C7759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SiteID</w:t>
      </w:r>
      <w:r>
        <w:br/>
      </w:r>
      <w:r>
        <w:rPr>
          <w:rStyle w:val="VerbatimChar"/>
        </w:rPr>
        <w:t>## 1 cg05393297</w:t>
      </w:r>
      <w:r>
        <w:br/>
      </w:r>
      <w:r>
        <w:rPr>
          <w:rStyle w:val="VerbatimChar"/>
        </w:rPr>
        <w:t>## 2 cg12011926</w:t>
      </w:r>
      <w:r>
        <w:br/>
      </w:r>
      <w:r>
        <w:rPr>
          <w:rStyle w:val="VerbatimChar"/>
        </w:rPr>
        <w:t>## 3 cg14581129</w:t>
      </w:r>
      <w:r>
        <w:br/>
      </w:r>
      <w:r>
        <w:rPr>
          <w:rStyle w:val="VerbatimChar"/>
        </w:rPr>
        <w:t>## 4 cg16329197</w:t>
      </w:r>
      <w:r>
        <w:br/>
      </w:r>
      <w:r>
        <w:rPr>
          <w:rStyle w:val="VerbatimChar"/>
        </w:rPr>
        <w:t>## 5 cg25025879</w:t>
      </w:r>
    </w:p>
    <w:p w:rsidR="000156BF" w:rsidRDefault="000156BF" w:rsidP="000156BF"/>
    <w:p w:rsidR="000156BF" w:rsidRPr="000156BF" w:rsidRDefault="000156BF" w:rsidP="000156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0156BF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Plots of 3 of these CpG sites:</w:t>
      </w:r>
    </w:p>
    <w:p w:rsidR="00204CC7" w:rsidRDefault="000156BF" w:rsidP="000156BF">
      <w:pPr>
        <w:tabs>
          <w:tab w:val="left" w:pos="1845"/>
        </w:tabs>
      </w:pPr>
      <w:r>
        <w:tab/>
      </w:r>
      <w:r>
        <w:rPr>
          <w:noProof/>
        </w:rPr>
        <w:drawing>
          <wp:inline distT="0" distB="0" distL="0" distR="0" wp14:anchorId="12B50B92" wp14:editId="0286F78B">
            <wp:extent cx="498157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960860E" wp14:editId="7BB9399D">
            <wp:extent cx="498157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F" w:rsidRDefault="000156BF" w:rsidP="000156BF">
      <w:pPr>
        <w:pStyle w:val="BodyText"/>
      </w:pPr>
      <w:r>
        <w:rPr>
          <w:noProof/>
        </w:rPr>
        <w:drawing>
          <wp:inline distT="0" distB="0" distL="0" distR="0" wp14:anchorId="1FF9AB85" wp14:editId="037072C6">
            <wp:extent cx="498157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F" w:rsidRDefault="000156BF" w:rsidP="000156BF">
      <w:pPr>
        <w:pStyle w:val="BodyText"/>
      </w:pPr>
    </w:p>
    <w:p w:rsidR="000156BF" w:rsidRDefault="000156BF" w:rsidP="000156BF">
      <w:pPr>
        <w:pStyle w:val="BodyText"/>
      </w:pPr>
    </w:p>
    <w:p w:rsidR="000156BF" w:rsidRDefault="000156BF" w:rsidP="000156BF">
      <w:pPr>
        <w:pStyle w:val="BodyText"/>
      </w:pPr>
    </w:p>
    <w:p w:rsidR="000156BF" w:rsidRDefault="000156BF" w:rsidP="000156BF">
      <w:pPr>
        <w:pStyle w:val="BodyText"/>
      </w:pPr>
    </w:p>
    <w:p w:rsidR="00A70B94" w:rsidRDefault="000156BF" w:rsidP="000156BF">
      <w:pPr>
        <w:pStyle w:val="BodyText"/>
      </w:pPr>
      <w:r>
        <w:t>Plot of random CpG site: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pt;height:24pt">
            <v:imagedata croptop="-65520f" cropbottom="65520f"/>
          </v:shape>
        </w:pict>
      </w:r>
    </w:p>
    <w:p w:rsidR="00A70B94" w:rsidRPr="000156BF" w:rsidRDefault="000156BF" w:rsidP="00A70B94">
      <w:pPr>
        <w:pStyle w:val="BodyText"/>
        <w:rPr>
          <w:sz w:val="40"/>
          <w:szCs w:val="40"/>
        </w:rPr>
      </w:pPr>
      <w:r w:rsidRPr="000156BF">
        <w:rPr>
          <w:sz w:val="40"/>
          <w:szCs w:val="40"/>
        </w:rPr>
        <w:t>RANDOM CPG SITE</w:t>
      </w:r>
      <w:r>
        <w:rPr>
          <w:sz w:val="40"/>
          <w:szCs w:val="40"/>
        </w:rPr>
        <w:t>S for comparison</w:t>
      </w:r>
      <w:r w:rsidRPr="000156BF">
        <w:rPr>
          <w:sz w:val="40"/>
          <w:szCs w:val="40"/>
        </w:rPr>
        <w:t>:</w:t>
      </w:r>
    </w:p>
    <w:p w:rsidR="000156BF" w:rsidRDefault="000156BF" w:rsidP="00A70B94">
      <w:pPr>
        <w:pStyle w:val="Heading1"/>
      </w:pPr>
      <w:r>
        <w:rPr>
          <w:noProof/>
        </w:rPr>
        <w:drawing>
          <wp:inline distT="0" distB="0" distL="0" distR="0" wp14:anchorId="66A2188D" wp14:editId="7CF1CF3A">
            <wp:extent cx="4962525" cy="419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F" w:rsidRDefault="000156BF" w:rsidP="00A70B94">
      <w:pPr>
        <w:pStyle w:val="Heading1"/>
      </w:pPr>
    </w:p>
    <w:p w:rsidR="000156BF" w:rsidRDefault="000156BF" w:rsidP="00A70B94">
      <w:pPr>
        <w:pStyle w:val="Heading1"/>
      </w:pPr>
      <w:r>
        <w:rPr>
          <w:noProof/>
        </w:rPr>
        <w:drawing>
          <wp:inline distT="0" distB="0" distL="0" distR="0" wp14:anchorId="178252B5" wp14:editId="3AB61DE0">
            <wp:extent cx="4991100" cy="417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BF" w:rsidRPr="000156BF" w:rsidRDefault="000156BF" w:rsidP="000156BF">
      <w:pPr>
        <w:pStyle w:val="BodyText"/>
      </w:pPr>
      <w:r>
        <w:rPr>
          <w:noProof/>
        </w:rPr>
        <w:drawing>
          <wp:inline distT="0" distB="0" distL="0" distR="0" wp14:anchorId="5CC62015" wp14:editId="71762DD1">
            <wp:extent cx="4943475" cy="418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70B94" w:rsidRDefault="00A70B94" w:rsidP="00A70B94">
      <w:pPr>
        <w:pStyle w:val="Heading1"/>
      </w:pPr>
      <w:r>
        <w:t>Other</w:t>
      </w:r>
      <w:r>
        <w:t xml:space="preserve">: </w:t>
      </w:r>
      <w:r w:rsidR="00750E59">
        <w:t>table and plot for</w:t>
      </w:r>
      <w:r>
        <w:t xml:space="preserve"> methylated sites by Ethnicity only</w:t>
      </w:r>
    </w:p>
    <w:p w:rsidR="00A70B94" w:rsidRDefault="00A70B94" w:rsidP="00A70B94">
      <w:pPr>
        <w:pStyle w:val="FirstParagraph"/>
      </w:pPr>
      <w:r>
        <w:t xml:space="preserve">We fit a linear model with ethnicity as the only covariate to obtain top differentially methylated CpG sites. </w:t>
      </w:r>
      <w:r w:rsidRPr="00A70B94">
        <w:t>We are testing the null hypothesis that samples in the two ethnic groups are drawn from populations with the same mean CpG site methylation.</w:t>
      </w:r>
    </w:p>
    <w:p w:rsidR="00A70B94" w:rsidRDefault="00750E59" w:rsidP="00A70B94">
      <w:pPr>
        <w:pStyle w:val="BodyText"/>
      </w:pPr>
      <w:r>
        <w:t>U</w:t>
      </w:r>
      <w:r w:rsidR="00A70B94">
        <w:t>sing a cutoff of FDR = 0.01, we identified 106 CpG sites that are differentially methylated between Caucasian and Asian genetic ancestry. Here are the top 6 of these sites:</w:t>
      </w:r>
    </w:p>
    <w:tbl>
      <w:tblPr>
        <w:tblW w:w="4615" w:type="pct"/>
        <w:tblLook w:val="07E0" w:firstRow="1" w:lastRow="1" w:firstColumn="1" w:lastColumn="1" w:noHBand="1" w:noVBand="1"/>
      </w:tblPr>
      <w:tblGrid>
        <w:gridCol w:w="1504"/>
        <w:gridCol w:w="1409"/>
        <w:gridCol w:w="1329"/>
        <w:gridCol w:w="1329"/>
        <w:gridCol w:w="979"/>
        <w:gridCol w:w="1093"/>
        <w:gridCol w:w="1196"/>
      </w:tblGrid>
      <w:tr w:rsidR="00C77592" w:rsidTr="000F123C">
        <w:tc>
          <w:tcPr>
            <w:tcW w:w="0" w:type="auto"/>
            <w:vAlign w:val="bottom"/>
          </w:tcPr>
          <w:p w:rsidR="00A70B94" w:rsidRDefault="00A70B94" w:rsidP="000F123C"/>
        </w:tc>
        <w:tc>
          <w:tcPr>
            <w:tcW w:w="0" w:type="auto"/>
            <w:vAlign w:val="bottom"/>
          </w:tcPr>
          <w:p w:rsidR="00A70B94" w:rsidRDefault="00A70B94" w:rsidP="000F123C">
            <w:pPr>
              <w:pStyle w:val="Compact"/>
              <w:jc w:val="right"/>
            </w:pPr>
            <w:r>
              <w:t>logFC</w:t>
            </w:r>
          </w:p>
        </w:tc>
        <w:tc>
          <w:tcPr>
            <w:tcW w:w="0" w:type="auto"/>
            <w:vAlign w:val="bottom"/>
          </w:tcPr>
          <w:p w:rsidR="00A70B94" w:rsidRDefault="00A70B94" w:rsidP="000F123C">
            <w:pPr>
              <w:pStyle w:val="Compact"/>
              <w:jc w:val="right"/>
            </w:pPr>
            <w:r>
              <w:t>AveExpr</w:t>
            </w:r>
          </w:p>
        </w:tc>
        <w:tc>
          <w:tcPr>
            <w:tcW w:w="0" w:type="auto"/>
            <w:vAlign w:val="bottom"/>
          </w:tcPr>
          <w:p w:rsidR="00A70B94" w:rsidRDefault="00A70B94" w:rsidP="000F123C">
            <w:pPr>
              <w:pStyle w:val="Compact"/>
              <w:jc w:val="right"/>
            </w:pPr>
            <w:r>
              <w:t>t</w:t>
            </w:r>
          </w:p>
        </w:tc>
        <w:tc>
          <w:tcPr>
            <w:tcW w:w="0" w:type="auto"/>
            <w:vAlign w:val="bottom"/>
          </w:tcPr>
          <w:p w:rsidR="00A70B94" w:rsidRDefault="00A70B94" w:rsidP="000F123C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vAlign w:val="bottom"/>
          </w:tcPr>
          <w:p w:rsidR="00A70B94" w:rsidRDefault="00A70B94" w:rsidP="000F123C">
            <w:pPr>
              <w:pStyle w:val="Compact"/>
              <w:jc w:val="right"/>
            </w:pPr>
            <w:r>
              <w:t>adj.P.Val</w:t>
            </w:r>
          </w:p>
        </w:tc>
        <w:tc>
          <w:tcPr>
            <w:tcW w:w="0" w:type="auto"/>
            <w:vAlign w:val="bottom"/>
          </w:tcPr>
          <w:p w:rsidR="00A70B94" w:rsidRDefault="00A70B94" w:rsidP="000F123C">
            <w:pPr>
              <w:pStyle w:val="Compact"/>
              <w:jc w:val="right"/>
            </w:pPr>
            <w:r>
              <w:t>B</w:t>
            </w:r>
          </w:p>
        </w:tc>
      </w:tr>
      <w:tr w:rsidR="00A70B94" w:rsidTr="000F123C">
        <w:tc>
          <w:tcPr>
            <w:tcW w:w="0" w:type="auto"/>
          </w:tcPr>
          <w:p w:rsidR="00A70B94" w:rsidRDefault="00A70B94" w:rsidP="000F123C">
            <w:pPr>
              <w:pStyle w:val="Compact"/>
            </w:pPr>
            <w:r>
              <w:t>cg16329197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0.4916578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0.4996451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11.656642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0.0e+00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23.94872</w:t>
            </w:r>
          </w:p>
        </w:tc>
      </w:tr>
      <w:tr w:rsidR="00A70B94" w:rsidTr="000F123C">
        <w:tc>
          <w:tcPr>
            <w:tcW w:w="0" w:type="auto"/>
          </w:tcPr>
          <w:p w:rsidR="00A70B94" w:rsidRDefault="00A70B94" w:rsidP="000F123C">
            <w:pPr>
              <w:pStyle w:val="Compact"/>
            </w:pPr>
            <w:r>
              <w:t>cg25025879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0.3917075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0.4535298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10.947130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0.0e+00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21.86189</w:t>
            </w:r>
          </w:p>
        </w:tc>
      </w:tr>
      <w:tr w:rsidR="00A70B94" w:rsidTr="000F123C">
        <w:tc>
          <w:tcPr>
            <w:tcW w:w="0" w:type="auto"/>
          </w:tcPr>
          <w:p w:rsidR="00A70B94" w:rsidRDefault="00A70B94" w:rsidP="000F123C">
            <w:pPr>
              <w:pStyle w:val="Compact"/>
            </w:pPr>
            <w:r>
              <w:t>cg05393297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0.4004352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0.6325893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10.444695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0.0e+00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20.34470</w:t>
            </w:r>
          </w:p>
        </w:tc>
      </w:tr>
      <w:tr w:rsidR="00A70B94" w:rsidTr="000F123C">
        <w:tc>
          <w:tcPr>
            <w:tcW w:w="0" w:type="auto"/>
          </w:tcPr>
          <w:p w:rsidR="00A70B94" w:rsidRDefault="00A70B94" w:rsidP="000F123C">
            <w:pPr>
              <w:pStyle w:val="Compact"/>
            </w:pPr>
            <w:r>
              <w:t>cg16808927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-0.2639234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0.1481974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-9.190328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1.0e-06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16.41929</w:t>
            </w:r>
          </w:p>
        </w:tc>
      </w:tr>
      <w:tr w:rsidR="00A70B94" w:rsidTr="000F123C">
        <w:tc>
          <w:tcPr>
            <w:tcW w:w="0" w:type="auto"/>
          </w:tcPr>
          <w:p w:rsidR="00A70B94" w:rsidRDefault="00A70B94" w:rsidP="000F123C">
            <w:pPr>
              <w:pStyle w:val="Compact"/>
            </w:pPr>
            <w:r>
              <w:t>cg06903451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0.1702557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0.5767780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9.038860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1.2e-06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15.93273</w:t>
            </w:r>
          </w:p>
        </w:tc>
      </w:tr>
      <w:tr w:rsidR="00A70B94" w:rsidTr="000F123C">
        <w:tc>
          <w:tcPr>
            <w:tcW w:w="0" w:type="auto"/>
          </w:tcPr>
          <w:p w:rsidR="00A70B94" w:rsidRDefault="00A70B94" w:rsidP="000F123C">
            <w:pPr>
              <w:pStyle w:val="Compact"/>
            </w:pPr>
            <w:r>
              <w:t>g14581129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0.2138548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0.5049442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8.955025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1.3e-06</w:t>
            </w:r>
          </w:p>
        </w:tc>
        <w:tc>
          <w:tcPr>
            <w:tcW w:w="0" w:type="auto"/>
          </w:tcPr>
          <w:p w:rsidR="00A70B94" w:rsidRDefault="00A70B94" w:rsidP="000F123C">
            <w:pPr>
              <w:pStyle w:val="Compact"/>
              <w:jc w:val="right"/>
            </w:pPr>
            <w:r>
              <w:t>15.66234</w:t>
            </w:r>
          </w:p>
        </w:tc>
      </w:tr>
    </w:tbl>
    <w:p w:rsidR="00A70B94" w:rsidRDefault="00A70B94" w:rsidP="00A70B94">
      <w:pPr>
        <w:pStyle w:val="FirstParagraph"/>
      </w:pPr>
      <w:bookmarkStart w:id="6" w:name="step-3-plotting"/>
      <w:bookmarkEnd w:id="6"/>
      <w:r>
        <w:rPr>
          <w:noProof/>
        </w:rPr>
        <w:drawing>
          <wp:inline distT="0" distB="0" distL="0" distR="0" wp14:anchorId="0C4B63D4" wp14:editId="434175A3">
            <wp:extent cx="5943600" cy="4245429"/>
            <wp:effectExtent l="0" t="0" r="0" b="0"/>
            <wp:docPr id="3" name="Picture 3" descr="https://raw.githubusercontent.com/STAT540-UBC/team_Methylation-Badassays/master/Scripts/Limma/Limma_files/figure-markdown_github/heatmap%20of%20beta%20values%20of%20top%20100%20Limma%20hits-1.png?token=AVCieIGfDKG6xEjF5RRkv2zKr-MZsCkjks5Y7K7W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TAT540-UBC/team_Methylation-Badassays/master/Scripts/Limma/Limma_files/figure-markdown_github/heatmap%20of%20beta%20values%20of%20top%20100%20Limma%20hits-1.png?token=AVCieIGfDKG6xEjF5RRkv2zKr-MZsCkjks5Y7K7WwA%3D%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94" w:rsidRPr="00A70B94" w:rsidRDefault="00A70B94" w:rsidP="00A70B94">
      <w:pPr>
        <w:pStyle w:val="BodyText"/>
      </w:pPr>
    </w:p>
    <w:sectPr w:rsidR="00A70B94" w:rsidRPr="00A70B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592" w:rsidRDefault="00C77592">
      <w:pPr>
        <w:spacing w:after="0"/>
      </w:pPr>
      <w:r>
        <w:separator/>
      </w:r>
    </w:p>
  </w:endnote>
  <w:endnote w:type="continuationSeparator" w:id="0">
    <w:p w:rsidR="00C77592" w:rsidRDefault="00C77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592" w:rsidRDefault="00C77592">
      <w:r>
        <w:separator/>
      </w:r>
    </w:p>
  </w:footnote>
  <w:footnote w:type="continuationSeparator" w:id="0">
    <w:p w:rsidR="00C77592" w:rsidRDefault="00C7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E82A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1BC6E7"/>
    <w:multiLevelType w:val="multilevel"/>
    <w:tmpl w:val="0C8A8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56BF"/>
    <w:rsid w:val="00204CC7"/>
    <w:rsid w:val="004E29B3"/>
    <w:rsid w:val="00590D07"/>
    <w:rsid w:val="00750E59"/>
    <w:rsid w:val="00784D58"/>
    <w:rsid w:val="008D6863"/>
    <w:rsid w:val="00A70B94"/>
    <w:rsid w:val="00B86B75"/>
    <w:rsid w:val="00BC48D5"/>
    <w:rsid w:val="00BE032D"/>
    <w:rsid w:val="00C36279"/>
    <w:rsid w:val="00C775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2B5"/>
  <w15:docId w15:val="{95903E88-807D-44C0-93EC-75B1D709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ugrad.stat.ubc.ca/~stat540/seminars/seminar08_methylation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methylation analysis (of Processed Data) with limma</vt:lpstr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methylation analysis (of Processed Data) with limma</dc:title>
  <dc:creator>Nivretta Thatra</dc:creator>
  <cp:lastModifiedBy>Nivi T</cp:lastModifiedBy>
  <cp:revision>3</cp:revision>
  <dcterms:created xsi:type="dcterms:W3CDTF">2017-04-04T10:18:00Z</dcterms:created>
  <dcterms:modified xsi:type="dcterms:W3CDTF">2017-04-04T11:10:00Z</dcterms:modified>
</cp:coreProperties>
</file>