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erfbgw8q.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keepNext/>
        <w:spacing w:before="260" w:after="160"/>
      </w:pPr>
      <w:r>
        <w:rPr>
          <w:rFonts w:ascii="Avenir Next LT Pro" w:hAnsi="Avenir Next LT Pro"/>
          <w:b/>
          <w:color w:val="1C4076"/>
          <w:sz w:val="28"/>
        </w:rPr>
        <w:t>Description</w:t>
      </w:r>
    </w:p>
    <w:p>
      <w:pPr>
        <w:spacing w:after="200"/>
        <w:jc w:val="both"/>
      </w:pPr>
      <w:r>
        <w:rPr>
          <w:rFonts w:ascii="Avenir Next LT Pro" w:hAnsi="Avenir Next LT Pro"/>
          <w:b w:val="0"/>
          <w:color w:val="1C4076"/>
          <w:sz w:val="22"/>
        </w:rPr>
        <w:t>BioMar Group operates under a comprehensive framework for financial management, risk control, tax compliance, and treasury operations. This framework establishes clear principles, standardized processes, and approval requirements to ensure consistency, transparency, and regulatory compliance across all global operations.</w:t>
      </w:r>
    </w:p>
    <w:p>
      <w:pPr>
        <w:spacing w:after="200"/>
        <w:jc w:val="both"/>
      </w:pPr>
      <w:r>
        <w:rPr>
          <w:rFonts w:ascii="Avenir Next LT Pro" w:hAnsi="Avenir Next LT Pro"/>
          <w:b w:val="0"/>
          <w:color w:val="1C4076"/>
          <w:sz w:val="22"/>
        </w:rPr>
        <w:t>The overall finance policy is supported by detailed guidelines, communicated and implemented across all BioMar units, and structured around four key pillars.</w:t>
      </w:r>
    </w:p>
    <w:p>
      <w:pPr>
        <w:keepNext/>
        <w:spacing w:before="260" w:after="160"/>
      </w:pPr>
      <w:r>
        <w:rPr>
          <w:rFonts w:ascii="Avenir Next LT Pro" w:hAnsi="Avenir Next LT Pro"/>
          <w:b/>
          <w:color w:val="1C4076"/>
          <w:sz w:val="28"/>
        </w:rPr>
        <w:t>Key Points</w:t>
      </w:r>
    </w:p>
    <w:p>
      <w:pPr>
        <w:keepNext/>
        <w:spacing w:before="120" w:after="80"/>
      </w:pPr>
      <w:r>
        <w:rPr>
          <w:rFonts w:ascii="Avenir Next LT Pro" w:hAnsi="Avenir Next LT Pro"/>
          <w:b/>
          <w:color w:val="1C4076"/>
          <w:sz w:val="24"/>
        </w:rPr>
        <w:t>Financial Reporting &amp; Planning</w:t>
      </w:r>
    </w:p>
    <w:p>
      <w:pPr>
        <w:spacing w:after="200"/>
        <w:jc w:val="both"/>
      </w:pPr>
      <w:r>
        <w:rPr>
          <w:rFonts w:ascii="Avenir Next LT Pro" w:hAnsi="Avenir Next LT Pro"/>
          <w:b w:val="0"/>
          <w:color w:val="1C4076"/>
          <w:sz w:val="22"/>
        </w:rPr>
        <w:t>Financial statements are prepared in accordance with international accounting standards (IFRS), with local statutory requirements applied locally where relevant.</w:t>
      </w:r>
    </w:p>
    <w:p>
      <w:pPr>
        <w:spacing w:after="200"/>
        <w:jc w:val="both"/>
      </w:pPr>
      <w:r>
        <w:rPr>
          <w:rFonts w:ascii="Avenir Next LT Pro" w:hAnsi="Avenir Next LT Pro"/>
          <w:b w:val="0"/>
          <w:color w:val="1C4076"/>
          <w:sz w:val="22"/>
        </w:rPr>
        <w:t>Annual and periodic planning processes align financial resources with strategic objectives. Capital allocation follows structured evaluation of business opportunities, strategic alignment, and potential value generation.</w:t>
      </w:r>
    </w:p>
    <w:p>
      <w:pPr>
        <w:keepNext/>
        <w:spacing w:before="120" w:after="80"/>
      </w:pPr>
      <w:r>
        <w:rPr>
          <w:rFonts w:ascii="Avenir Next LT Pro" w:hAnsi="Avenir Next LT Pro"/>
          <w:b/>
          <w:color w:val="1C4076"/>
          <w:sz w:val="24"/>
        </w:rPr>
        <w:t>Risk Management &amp; Controls</w:t>
      </w:r>
    </w:p>
    <w:p>
      <w:pPr>
        <w:spacing w:after="200"/>
        <w:jc w:val="both"/>
      </w:pPr>
      <w:r>
        <w:rPr>
          <w:rFonts w:ascii="Avenir Next LT Pro" w:hAnsi="Avenir Next LT Pro"/>
          <w:b w:val="0"/>
          <w:color w:val="1C4076"/>
          <w:sz w:val="22"/>
        </w:rPr>
        <w:t>Internal controls are maintained based on recognized frameworks with systematic monitoring of key processes. Financial exposures are assessed through comprehensive procedures and approval processes. Risk mitigation strategies and control mechanisms are embedded in core processes to maintain financial integrity and operational resilience.</w:t>
      </w:r>
    </w:p>
    <w:p>
      <w:pPr>
        <w:keepNext/>
        <w:spacing w:before="120" w:after="80"/>
      </w:pPr>
      <w:r>
        <w:rPr>
          <w:rFonts w:ascii="Avenir Next LT Pro" w:hAnsi="Avenir Next LT Pro"/>
          <w:b/>
          <w:color w:val="1C4076"/>
          <w:sz w:val="24"/>
        </w:rPr>
        <w:t>Tax Compliance</w:t>
      </w:r>
    </w:p>
    <w:p>
      <w:pPr>
        <w:spacing w:after="200"/>
        <w:jc w:val="both"/>
      </w:pPr>
      <w:r>
        <w:rPr>
          <w:rFonts w:ascii="Avenir Next LT Pro" w:hAnsi="Avenir Next LT Pro"/>
          <w:b w:val="0"/>
          <w:color w:val="1C4076"/>
          <w:sz w:val="22"/>
        </w:rPr>
        <w:t>BioMar is committed to responsible tax management, complying with applicable legislation and maintaining cooperative relationships with authorities. Transactions with related parties are conducted at arm’s length in line with international guidelines, with appropriate documentation maintained.</w:t>
      </w:r>
    </w:p>
    <w:p>
      <w:pPr>
        <w:keepNext/>
        <w:spacing w:before="120" w:after="80"/>
      </w:pPr>
      <w:r>
        <w:rPr>
          <w:rFonts w:ascii="Avenir Next LT Pro" w:hAnsi="Avenir Next LT Pro"/>
          <w:b/>
          <w:color w:val="1C4076"/>
          <w:sz w:val="24"/>
        </w:rPr>
        <w:t>Treasury</w:t>
      </w:r>
    </w:p>
    <w:p>
      <w:pPr>
        <w:spacing w:after="200"/>
        <w:jc w:val="both"/>
      </w:pPr>
      <w:r>
        <w:rPr>
          <w:rFonts w:ascii="Avenir Next LT Pro" w:hAnsi="Avenir Next LT Pro"/>
          <w:b w:val="0"/>
          <w:color w:val="1C4076"/>
          <w:sz w:val="22"/>
        </w:rPr>
        <w:t>Treasury operations manage foreign exchange risk, banking relationships, and financing activities to optimize liquidity. Regular reviews and monitoring ensure adherence to policies and procedures, supported by clear governance and escalation processes.</w:t>
      </w:r>
    </w:p>
    <w:p/>
    <w:tbl>
      <w:tblPr>
        <w:tblStyle w:val="TableGrid"/>
        <w:tblW w:type="auto" w:w="0"/>
        <w:jc w:val="center"/>
        <w:tblLook w:firstColumn="1" w:firstRow="1" w:lastColumn="0" w:lastRow="0" w:noHBand="0" w:noVBand="1" w:val="04A0"/>
      </w:tblPr>
      <w:tblGrid>
        <w:gridCol w:w="5103"/>
        <w:gridCol w:w="5103"/>
      </w:tblGrid>
      <w:tr>
        <w:tc>
          <w:tcPr>
            <w:tcW w:type="dxa" w:w="5103"/>
            <w:shd w:val="clear" w:fill="1C4076"/>
          </w:tcPr>
          <w:p>
            <w:r>
              <w:rPr>
                <w:rFonts w:ascii="Avenir Next LT Pro" w:hAnsi="Avenir Next LT Pro"/>
                <w:b/>
                <w:color w:val="FFFFFF"/>
                <w:sz w:val="20"/>
              </w:rPr>
              <w:t>Version history</w:t>
            </w:r>
          </w:p>
        </w:tc>
        <w:tc>
          <w:tcPr>
            <w:tcW w:type="dxa" w:w="5103"/>
            <w:shd w:val="clear" w:fill="1C4076"/>
          </w:tcPr>
          <w:p>
            <w:r>
              <w:rPr>
                <w:rFonts w:ascii="Avenir Next LT Pro" w:hAnsi="Avenir Next LT Pro"/>
                <w:b/>
                <w:color w:val="FFFFFF"/>
                <w:sz w:val="20"/>
              </w:rPr>
              <w:t>Owner and approver</w:t>
            </w:r>
          </w:p>
        </w:tc>
      </w:tr>
      <w:tr>
        <w:tc>
          <w:tcPr>
            <w:tcW w:type="dxa" w:w="5103"/>
          </w:tcPr>
          <w:p>
            <w:r>
              <w:rPr>
                <w:rFonts w:ascii="Avenir Next LT Pro" w:hAnsi="Avenir Next LT Pro"/>
                <w:b/>
                <w:color w:val="1C4076"/>
                <w:sz w:val="18"/>
              </w:rPr>
              <w:t xml:space="preserve">Version 1: </w:t>
            </w:r>
            <w:r>
              <w:rPr>
                <w:rFonts w:ascii="Avenir Next LT Pro" w:hAnsi="Avenir Next LT Pro"/>
                <w:b w:val="0"/>
                <w:color w:val="1C4076"/>
                <w:sz w:val="18"/>
              </w:rPr>
              <w:t>20-01-2026</w:t>
            </w:r>
          </w:p>
          <w:p>
            <w:r>
              <w:rPr>
                <w:rFonts w:ascii="Avenir Next LT Pro" w:hAnsi="Avenir Next LT Pro"/>
                <w:b/>
                <w:color w:val="1C4076"/>
                <w:sz w:val="18"/>
              </w:rPr>
              <w:t xml:space="preserve">Approval date: </w:t>
            </w:r>
            <w:r>
              <w:rPr>
                <w:rFonts w:ascii="Avenir Next LT Pro" w:hAnsi="Avenir Next LT Pro"/>
                <w:b w:val="0"/>
                <w:color w:val="1C4076"/>
                <w:sz w:val="18"/>
              </w:rPr>
              <w:t>20-01-2026</w:t>
            </w:r>
          </w:p>
        </w:tc>
        <w:tc>
          <w:tcPr>
            <w:tcW w:type="dxa" w:w="5103"/>
          </w:tcPr>
          <w:p>
            <w:r>
              <w:rPr>
                <w:rFonts w:ascii="Avenir Next LT Pro" w:hAnsi="Avenir Next LT Pro"/>
                <w:b/>
                <w:color w:val="1C4076"/>
                <w:sz w:val="18"/>
              </w:rPr>
              <w:t xml:space="preserve">Owner: </w:t>
            </w:r>
            <w:r>
              <w:rPr>
                <w:rFonts w:ascii="Avenir Next LT Pro" w:hAnsi="Avenir Next LT Pro"/>
                <w:b w:val="0"/>
                <w:color w:val="1C4076"/>
                <w:sz w:val="18"/>
              </w:rPr>
              <w:t>Group Finance</w:t>
            </w:r>
          </w:p>
          <w:p>
            <w:r>
              <w:rPr>
                <w:rFonts w:ascii="Avenir Next LT Pro" w:hAnsi="Avenir Next LT Pro"/>
                <w:b/>
                <w:color w:val="1C4076"/>
                <w:sz w:val="18"/>
              </w:rPr>
              <w:t xml:space="preserve">Approver: </w:t>
            </w:r>
            <w:r>
              <w:rPr>
                <w:rFonts w:ascii="Avenir Next LT Pro" w:hAnsi="Avenir Next LT Pro"/>
                <w:b w:val="0"/>
                <w:color w:val="1C4076"/>
                <w:sz w:val="18"/>
              </w:rPr>
              <w:t>Executive Committee</w:t>
            </w:r>
          </w:p>
        </w:tc>
      </w:tr>
    </w:tbl>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color w:val="1C4076"/>
        <w:sz w:val="16"/>
      </w:rPr>
      <w:t>BioMar Group</w:t>
    </w:r>
    <w:r>
      <w:br/>
    </w:r>
    <w:r>
      <w:rPr>
        <w:rFonts w:ascii="Avenir Next LT Pro" w:hAnsi="Avenir Next LT Pro"/>
        <w:b w:val="0"/>
        <w:color w:val="1C4076"/>
        <w:sz w:val="16"/>
      </w:rPr>
      <w:t>Finance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