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0f0yo_z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pPr>
        <w:spacing w:after="200"/>
        <w:jc w:val="both"/>
      </w:pPr>
      <w:r>
        <w:rPr>
          <w:rFonts w:ascii="Avenir Next LT Pro" w:hAnsi="Avenir Next LT Pro"/>
          <w:b w:val="0"/>
          <w:color w:val="1C4076"/>
          <w:sz w:val="22"/>
        </w:rPr>
        <w:t>As a company, we have a responsibility to protect and promote human rights. Our commitment to ethical salary standards mean we are enabling our employees and their families to live a dignified life. At the same time we promote and demonstrate fair and equal remuneration across geographies and cultures.</w:t>
      </w:r>
    </w:p>
    <w:p>
      <w:pPr>
        <w:spacing w:after="200"/>
        <w:jc w:val="both"/>
      </w:pPr>
      <w:r>
        <w:rPr>
          <w:rFonts w:ascii="Avenir Next LT Pro" w:hAnsi="Avenir Next LT Pro"/>
          <w:b w:val="0"/>
          <w:color w:val="1C4076"/>
          <w:sz w:val="22"/>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keepNext/>
        <w:spacing w:before="260" w:after="160"/>
      </w:pPr>
      <w:r>
        <w:rPr>
          <w:rFonts w:ascii="Avenir Next LT Pro" w:hAnsi="Avenir Next LT Pro"/>
          <w:b/>
          <w:color w:val="1C4076"/>
          <w:sz w:val="28"/>
        </w:rPr>
        <w:t>The fundamental principles</w:t>
      </w:r>
    </w:p>
    <w:p>
      <w:pPr>
        <w:spacing w:after="200"/>
        <w:jc w:val="both"/>
      </w:pPr>
      <w:r>
        <w:rPr>
          <w:rFonts w:ascii="Avenir Next LT Pro" w:hAnsi="Avenir Next LT Pro"/>
          <w:b w:val="0"/>
          <w:color w:val="1C4076"/>
          <w:sz w:val="22"/>
        </w:rPr>
        <w:t>Transparency with respect to salary principles is a critical element of fair and equal pay. In BioMar, we are committed to four fundamental principles related to pay:</w:t>
      </w:r>
    </w:p>
    <w:p>
      <w:pPr>
        <w:pStyle w:val="ListBullet"/>
        <w:spacing w:after="80"/>
      </w:pPr>
      <w:r>
        <w:rPr>
          <w:rFonts w:ascii="Avenir Next LT Pro" w:hAnsi="Avenir Next LT Pro"/>
          <w:b w:val="0"/>
          <w:color w:val="1C4076"/>
          <w:sz w:val="22"/>
        </w:rPr>
        <w:t>Fair and equal pay for all</w:t>
      </w:r>
    </w:p>
    <w:p>
      <w:pPr>
        <w:pStyle w:val="ListBullet"/>
        <w:spacing w:after="80"/>
      </w:pPr>
      <w:r>
        <w:rPr>
          <w:rFonts w:ascii="Avenir Next LT Pro" w:hAnsi="Avenir Next LT Pro"/>
          <w:b w:val="0"/>
          <w:color w:val="1C4076"/>
          <w:sz w:val="22"/>
        </w:rPr>
        <w:t>Commitment to living wages</w:t>
      </w:r>
    </w:p>
    <w:p>
      <w:pPr>
        <w:pStyle w:val="ListBullet"/>
        <w:spacing w:after="80"/>
      </w:pPr>
      <w:r>
        <w:rPr>
          <w:rFonts w:ascii="Avenir Next LT Pro" w:hAnsi="Avenir Next LT Pro"/>
          <w:b w:val="0"/>
          <w:color w:val="1C4076"/>
          <w:sz w:val="22"/>
        </w:rPr>
        <w:t>Respectful pay dialogues</w:t>
      </w:r>
    </w:p>
    <w:p>
      <w:pPr>
        <w:pStyle w:val="ListBullet"/>
        <w:spacing w:after="80"/>
      </w:pPr>
      <w:r>
        <w:rPr>
          <w:rFonts w:ascii="Avenir Next LT Pro" w:hAnsi="Avenir Next LT Pro"/>
          <w:b w:val="0"/>
          <w:color w:val="1C4076"/>
          <w:sz w:val="22"/>
        </w:rPr>
        <w:t>Protection of employee entitlements</w:t>
      </w:r>
    </w:p>
    <w:p>
      <w:pPr>
        <w:spacing w:after="200"/>
        <w:jc w:val="both"/>
      </w:pPr>
      <w:r>
        <w:rPr>
          <w:rFonts w:ascii="Avenir Next LT Pro" w:hAnsi="Avenir Next LT Pro"/>
          <w:b w:val="0"/>
          <w:color w:val="1C4076"/>
          <w:sz w:val="22"/>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keepNext/>
        <w:spacing w:before="260" w:after="160"/>
      </w:pPr>
      <w:r>
        <w:rPr>
          <w:rFonts w:ascii="Avenir Next LT Pro" w:hAnsi="Avenir Next LT Pro"/>
          <w:b/>
          <w:color w:val="1C4076"/>
          <w:sz w:val="28"/>
        </w:rPr>
        <w:t>Principle 1: Fair and equal pay for all</w:t>
      </w:r>
    </w:p>
    <w:p>
      <w:pPr>
        <w:spacing w:after="200"/>
        <w:jc w:val="both"/>
      </w:pPr>
      <w:r>
        <w:rPr>
          <w:rFonts w:ascii="Avenir Next LT Pro" w:hAnsi="Avenir Next LT Pro"/>
          <w:b w:val="0"/>
          <w:color w:val="1C4076"/>
          <w:sz w:val="22"/>
        </w:rPr>
        <w:t>In BioMar Group,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pPr>
        <w:spacing w:after="200"/>
        <w:jc w:val="both"/>
      </w:pPr>
      <w:r>
        <w:rPr>
          <w:rFonts w:ascii="Avenir Next LT Pro" w:hAnsi="Avenir Next LT Pro"/>
          <w:b w:val="0"/>
          <w:color w:val="1C4076"/>
          <w:sz w:val="22"/>
        </w:rPr>
        <w:t>Our policy means that all pay decisions are based upon:</w:t>
      </w:r>
    </w:p>
    <w:p>
      <w:pPr>
        <w:pStyle w:val="ListBullet"/>
        <w:spacing w:after="80"/>
      </w:pPr>
      <w:r>
        <w:rPr>
          <w:rFonts w:ascii="Avenir Next LT Pro" w:hAnsi="Avenir Next LT Pro"/>
          <w:b w:val="0"/>
          <w:color w:val="1C4076"/>
          <w:sz w:val="22"/>
        </w:rPr>
        <w:t>Job Evaluation</w:t>
      </w:r>
    </w:p>
    <w:p>
      <w:pPr>
        <w:pStyle w:val="ListBullet"/>
        <w:spacing w:after="80"/>
      </w:pPr>
      <w:r>
        <w:rPr>
          <w:rFonts w:ascii="Avenir Next LT Pro" w:hAnsi="Avenir Next LT Pro"/>
          <w:b w:val="0"/>
          <w:color w:val="1C4076"/>
          <w:sz w:val="22"/>
        </w:rPr>
        <w:t>Local Market Practice</w:t>
      </w:r>
    </w:p>
    <w:p>
      <w:pPr>
        <w:pStyle w:val="ListBullet"/>
        <w:spacing w:after="80"/>
      </w:pPr>
      <w:r>
        <w:rPr>
          <w:rFonts w:ascii="Avenir Next LT Pro" w:hAnsi="Avenir Next LT Pro"/>
          <w:b w:val="0"/>
          <w:color w:val="1C4076"/>
          <w:sz w:val="22"/>
        </w:rPr>
        <w:t>Employee Performance</w:t>
      </w:r>
    </w:p>
    <w:p>
      <w:pPr>
        <w:spacing w:after="200"/>
        <w:jc w:val="both"/>
      </w:pPr>
      <w:r>
        <w:rPr>
          <w:rFonts w:ascii="Avenir Next LT Pro" w:hAnsi="Avenir Next LT Pro"/>
          <w:b w:val="0"/>
          <w:color w:val="1C4076"/>
          <w:sz w:val="22"/>
        </w:rPr>
        <w:t>The application of this evaluation criteria creates an objective and fair process in determining salary at the correct level.</w:t>
      </w:r>
    </w:p>
    <w:p>
      <w:pPr>
        <w:keepNext/>
        <w:spacing w:before="260" w:after="160"/>
      </w:pPr>
      <w:r>
        <w:rPr>
          <w:rFonts w:ascii="Avenir Next LT Pro" w:hAnsi="Avenir Next LT Pro"/>
          <w:b/>
          <w:color w:val="1C4076"/>
          <w:sz w:val="28"/>
        </w:rPr>
        <w:t>Principle 2: Commitment to Living Wage</w:t>
      </w:r>
    </w:p>
    <w:p>
      <w:pPr>
        <w:spacing w:after="200"/>
        <w:jc w:val="both"/>
      </w:pPr>
      <w:r>
        <w:rPr>
          <w:rFonts w:ascii="Avenir Next LT Pro" w:hAnsi="Avenir Next LT Pro"/>
          <w:b w:val="0"/>
          <w:color w:val="1C4076"/>
          <w:sz w:val="22"/>
        </w:rPr>
        <w:t>We believe all employees across the globe are entitled to live a dignified life, receiving a wage that negates the need for working overtime or engaging in other employment.</w:t>
      </w:r>
    </w:p>
    <w:p>
      <w:pPr>
        <w:spacing w:after="200"/>
        <w:jc w:val="both"/>
      </w:pPr>
      <w:r>
        <w:rPr>
          <w:rFonts w:ascii="Avenir Next LT Pro" w:hAnsi="Avenir Next LT Pro"/>
          <w:b w:val="0"/>
          <w:color w:val="1C4076"/>
          <w:sz w:val="22"/>
        </w:rPr>
        <w:t>In BioMar, we are committed to the goal that each employee is being paid above the living wage level for their location.</w:t>
      </w:r>
    </w:p>
    <w:p>
      <w:pPr>
        <w:keepNext/>
        <w:spacing w:before="260" w:after="160"/>
      </w:pPr>
      <w:r>
        <w:rPr>
          <w:rFonts w:ascii="Avenir Next LT Pro" w:hAnsi="Avenir Next LT Pro"/>
          <w:b/>
          <w:color w:val="1C4076"/>
          <w:sz w:val="28"/>
        </w:rPr>
        <w:t>Principle 3: Respectful pay dialogues</w:t>
      </w:r>
    </w:p>
    <w:p>
      <w:pPr>
        <w:spacing w:after="200"/>
        <w:jc w:val="both"/>
      </w:pPr>
      <w:r>
        <w:rPr>
          <w:rFonts w:ascii="Avenir Next LT Pro" w:hAnsi="Avenir Next LT Pro"/>
          <w:b w:val="0"/>
          <w:color w:val="1C4076"/>
          <w:sz w:val="22"/>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pPr>
        <w:spacing w:after="200"/>
        <w:jc w:val="both"/>
      </w:pPr>
      <w:r>
        <w:rPr>
          <w:rFonts w:ascii="Avenir Next LT Pro" w:hAnsi="Avenir Next LT Pro"/>
          <w:b w:val="0"/>
          <w:color w:val="1C4076"/>
          <w:sz w:val="22"/>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pPr>
        <w:keepNext/>
        <w:spacing w:before="260" w:after="160"/>
      </w:pPr>
      <w:r>
        <w:rPr>
          <w:rFonts w:ascii="Avenir Next LT Pro" w:hAnsi="Avenir Next LT Pro"/>
          <w:b/>
          <w:color w:val="1C4076"/>
          <w:sz w:val="28"/>
        </w:rPr>
        <w:t>Principle 4: Protection of employee entitlements</w:t>
      </w:r>
    </w:p>
    <w:p>
      <w:pPr>
        <w:spacing w:after="200"/>
        <w:jc w:val="both"/>
      </w:pPr>
      <w:r>
        <w:rPr>
          <w:rFonts w:ascii="Avenir Next LT Pro" w:hAnsi="Avenir Next LT Pro"/>
          <w:b w:val="0"/>
          <w:color w:val="1C4076"/>
          <w:sz w:val="22"/>
        </w:rPr>
        <w:t>Salaries must be paid in legal tender at agreed regular intervals and paid directly to employees. At no time will payments be delayed, deferred or in any way withheld. All details related to the wage payment will be documented.</w:t>
      </w:r>
    </w:p>
    <w:p>
      <w:pPr>
        <w:spacing w:after="200"/>
        <w:jc w:val="both"/>
      </w:pPr>
      <w:r>
        <w:rPr>
          <w:rFonts w:ascii="Avenir Next LT Pro" w:hAnsi="Avenir Next LT Pro"/>
          <w:b w:val="0"/>
          <w:color w:val="1C4076"/>
          <w:sz w:val="22"/>
        </w:rPr>
        <w:t>In BioMar, we do not accept disciplinary sanctions that impact employee guaranteed pay. A deduction of wages or benefits will not be used as a means of disciplinary action, and at no time will an employee’s salary, property or benefits be withheld. Workers are not required to purchase from BioMar operated stores or services. Further, employees are not required to reside in employer-operated accommodation as a condition of employment.</w:t>
      </w:r>
    </w:p>
    <w:p>
      <w:pPr>
        <w:spacing w:after="200"/>
        <w:jc w:val="both"/>
      </w:pPr>
      <w:r>
        <w:rPr>
          <w:rFonts w:ascii="Avenir Next LT Pro" w:hAnsi="Avenir Next LT Pro"/>
          <w:b w:val="0"/>
          <w:color w:val="1C4076"/>
          <w:sz w:val="22"/>
        </w:rPr>
        <w:t>Every worker has the right to terminate their employment with BioMar and with the provision of reasonable notice to fully receive all entitled salary and benefits.</w:t>
      </w:r>
    </w:p>
    <w:p>
      <w:pPr>
        <w:keepNext/>
        <w:spacing w:before="260" w:after="160"/>
      </w:pPr>
      <w:r>
        <w:rPr>
          <w:rFonts w:ascii="Avenir Next LT Pro" w:hAnsi="Avenir Next LT Pro"/>
          <w:b/>
          <w:color w:val="1C4076"/>
          <w:sz w:val="28"/>
        </w:rPr>
        <w:t>References</w:t>
      </w:r>
    </w:p>
    <w:p>
      <w:pPr>
        <w:spacing w:after="200"/>
        <w:jc w:val="both"/>
      </w:pPr>
      <w:r>
        <w:rPr>
          <w:rFonts w:ascii="Avenir Next LT Pro" w:hAnsi="Avenir Next LT Pro"/>
          <w:b w:val="0"/>
          <w:color w:val="1C4076"/>
          <w:sz w:val="22"/>
        </w:rPr>
        <w:t>BioMar documents: (If no date is given, the latest issue applies)</w:t>
      </w:r>
    </w:p>
    <w:p>
      <w:pPr>
        <w:spacing w:after="200"/>
        <w:jc w:val="both"/>
      </w:pPr>
      <w:r>
        <w:rPr>
          <w:rFonts w:ascii="Avenir Next LT Pro" w:hAnsi="Avenir Next LT Pro"/>
          <w:b w:val="0"/>
          <w:color w:val="1C4076"/>
          <w:sz w:val="22"/>
        </w:rPr>
        <w:t>Incentive Schemes for group functions at BioMar Group</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Salary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