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r96sjua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Introduction</w:t>
      </w:r>
    </w:p>
    <w:p>
      <w:pPr>
        <w:spacing w:after="200"/>
        <w:jc w:val="both"/>
      </w:pPr>
      <w:r>
        <w:rPr>
          <w:rFonts w:ascii="Avenir Next LT Pro" w:hAnsi="Avenir Next LT Pro"/>
          <w:b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color w:val="1C4076"/>
          <w:sz w:val="28"/>
        </w:rPr>
        <w:t>Localizing the Travel Policy</w:t>
      </w:r>
    </w:p>
    <w:p>
      <w:pPr>
        <w:spacing w:after="200"/>
        <w:jc w:val="both"/>
      </w:pPr>
      <w:r>
        <w:rPr>
          <w:rFonts w:ascii="Avenir Next LT Pro" w:hAnsi="Avenir Next LT Pro"/>
          <w:b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color w:val="1C4076"/>
          <w:sz w:val="22"/>
        </w:rPr>
        <w:t>As examples, business units can:</w:t>
      </w:r>
    </w:p>
    <w:p>
      <w:pPr>
        <w:pStyle w:val="ListBullet"/>
        <w:spacing w:after="80"/>
      </w:pPr>
      <w:r>
        <w:rPr>
          <w:rFonts w:ascii="Avenir Next LT Pro" w:hAnsi="Avenir Next LT Pro"/>
          <w:b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color w:val="1C4076"/>
          <w:sz w:val="28"/>
        </w:rPr>
        <w:t>Responsibilities and communication channels</w:t>
      </w:r>
    </w:p>
    <w:p>
      <w:pPr>
        <w:spacing w:after="200"/>
        <w:jc w:val="both"/>
      </w:pPr>
      <w:r>
        <w:rPr>
          <w:rFonts w:ascii="Avenir Next LT Pro" w:hAnsi="Avenir Next LT Pro"/>
          <w:b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color w:val="1C4076"/>
          <w:sz w:val="28"/>
        </w:rPr>
        <w:t>Partnership with International SOS</w:t>
      </w:r>
    </w:p>
    <w:p>
      <w:pPr>
        <w:spacing w:after="200"/>
        <w:jc w:val="both"/>
      </w:pPr>
      <w:r>
        <w:rPr>
          <w:rFonts w:ascii="Avenir Next LT Pro" w:hAnsi="Avenir Next LT Pro"/>
          <w:b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color w:val="1C4076"/>
          <w:sz w:val="28"/>
        </w:rPr>
        <w:t>Policy principles in practice</w:t>
      </w:r>
    </w:p>
    <w:p>
      <w:pPr>
        <w:spacing w:after="200"/>
        <w:jc w:val="both"/>
      </w:pPr>
      <w:r>
        <w:rPr>
          <w:rFonts w:ascii="Avenir Next LT Pro" w:hAnsi="Avenir Next LT Pro"/>
          <w:b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color w:val="1C4076"/>
          <w:sz w:val="24"/>
        </w:rPr>
        <w:t>5.1. Principle 1: Travel insurance must be in place</w:t>
      </w:r>
    </w:p>
    <w:p>
      <w:pPr>
        <w:spacing w:after="200"/>
        <w:jc w:val="both"/>
      </w:pPr>
      <w:r>
        <w:rPr>
          <w:rFonts w:ascii="Avenir Next LT Pro" w:hAnsi="Avenir Next LT Pro"/>
          <w:b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Type of coverage: The coverage should be at international standards.</w:t>
      </w:r>
    </w:p>
    <w:p>
      <w:pPr>
        <w:pStyle w:val="ListBullet"/>
        <w:spacing w:after="80"/>
      </w:pPr>
      <w:r>
        <w:rPr>
          <w:rFonts w:ascii="Avenir Next LT Pro" w:hAnsi="Avenir Next LT Pro"/>
          <w:b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color w:val="1C4076"/>
          <w:sz w:val="22"/>
        </w:rPr>
        <w:t xml:space="preserve">5.1.1. Type of coverage </w:t>
      </w:r>
      <w:r>
        <w:rPr>
          <w:rFonts w:ascii="Avenir Next LT Pro" w:hAnsi="Avenir Next LT Pro"/>
          <w:b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color w:val="1C4076"/>
          <w:sz w:val="22"/>
        </w:rPr>
        <w:t xml:space="preserve">5.1.2. Responsibility for purchasing insurance </w:t>
      </w:r>
      <w:r>
        <w:rPr>
          <w:rFonts w:ascii="Avenir Next LT Pro" w:hAnsi="Avenir Next LT Pro"/>
          <w:b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color w:val="1C4076"/>
          <w:sz w:val="28"/>
        </w:rPr>
        <w:t>5.2. Principle 2: Travellers should have access to support resources</w:t>
      </w:r>
    </w:p>
    <w:p>
      <w:pPr>
        <w:spacing w:after="200"/>
        <w:jc w:val="both"/>
      </w:pPr>
      <w:r>
        <w:rPr>
          <w:rFonts w:ascii="Avenir Next LT Pro" w:hAnsi="Avenir Next LT Pro"/>
          <w:b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color w:val="1C4076"/>
          <w:sz w:val="22"/>
        </w:rPr>
        <w:t>There are three core elements in this principle:</w:t>
      </w:r>
    </w:p>
    <w:p>
      <w:pPr>
        <w:pStyle w:val="ListBullet"/>
        <w:spacing w:after="80"/>
      </w:pPr>
      <w:r>
        <w:rPr>
          <w:rFonts w:ascii="Avenir Next LT Pro" w:hAnsi="Avenir Next LT Pro"/>
          <w:b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color w:val="1C4076"/>
          <w:sz w:val="22"/>
        </w:rPr>
        <w:t xml:space="preserve">5.2.1. Destination information </w:t>
      </w:r>
      <w:r>
        <w:rPr>
          <w:rFonts w:ascii="Avenir Next LT Pro" w:hAnsi="Avenir Next LT Pro"/>
          <w:b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color w:val="1C4076"/>
          <w:sz w:val="22"/>
        </w:rPr>
        <w:t xml:space="preserve">5.2.2. Travel training </w:t>
      </w:r>
      <w:r>
        <w:rPr>
          <w:rFonts w:ascii="Avenir Next LT Pro" w:hAnsi="Avenir Next LT Pro"/>
          <w:b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color w:val="1C4076"/>
          <w:sz w:val="22"/>
        </w:rPr>
        <w:t xml:space="preserve">5.2.3. Access to assistance centres </w:t>
      </w:r>
      <w:r>
        <w:rPr>
          <w:rFonts w:ascii="Avenir Next LT Pro" w:hAnsi="Avenir Next LT Pro"/>
          <w:b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color w:val="1C4076"/>
          <w:sz w:val="28"/>
        </w:rPr>
        <w:t>5.3. Principle 3: Emergency preparedness is a prerequisite</w:t>
      </w:r>
    </w:p>
    <w:p>
      <w:pPr>
        <w:spacing w:after="200"/>
        <w:jc w:val="both"/>
      </w:pPr>
      <w:r>
        <w:rPr>
          <w:rFonts w:ascii="Avenir Next LT Pro" w:hAnsi="Avenir Next LT Pro"/>
          <w:b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color w:val="1C4076"/>
          <w:sz w:val="22"/>
        </w:rPr>
        <w:t xml:space="preserve">5.3.1. Emergency contact information </w:t>
      </w:r>
      <w:r>
        <w:rPr>
          <w:rFonts w:ascii="Avenir Next LT Pro" w:hAnsi="Avenir Next LT Pro"/>
          <w:b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color w:val="1C4076"/>
          <w:sz w:val="22"/>
        </w:rPr>
        <w:t xml:space="preserve">5.3.2. Travel itinerary sharing </w:t>
      </w:r>
      <w:r>
        <w:rPr>
          <w:rFonts w:ascii="Avenir Next LT Pro" w:hAnsi="Avenir Next LT Pro"/>
          <w:b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color w:val="1C4076"/>
          <w:sz w:val="28"/>
        </w:rPr>
        <w:t>5.4. Travel should be cost-conscious</w:t>
      </w:r>
    </w:p>
    <w:p>
      <w:pPr>
        <w:spacing w:after="200"/>
        <w:jc w:val="both"/>
      </w:pPr>
      <w:r>
        <w:rPr>
          <w:rFonts w:ascii="Avenir Next LT Pro" w:hAnsi="Avenir Next LT Pro"/>
          <w:b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color w:val="1C4076"/>
          <w:sz w:val="22"/>
        </w:rPr>
        <w:t>There are four core elements in this principle:</w:t>
      </w:r>
    </w:p>
    <w:p>
      <w:pPr>
        <w:pStyle w:val="ListBullet"/>
        <w:spacing w:after="80"/>
      </w:pPr>
      <w:r>
        <w:rPr>
          <w:rFonts w:ascii="Avenir Next LT Pro" w:hAnsi="Avenir Next LT Pro"/>
          <w:b w:val="0"/>
          <w:color w:val="1C4076"/>
          <w:sz w:val="22"/>
        </w:rPr>
        <w:t>Economy Class airfare: Air fares should be standard Economy Class with low flexibility.</w:t>
      </w:r>
    </w:p>
    <w:p>
      <w:pPr>
        <w:pStyle w:val="ListBullet"/>
        <w:spacing w:after="80"/>
      </w:pPr>
      <w:r>
        <w:rPr>
          <w:rFonts w:ascii="Avenir Next LT Pro" w:hAnsi="Avenir Next LT Pro"/>
          <w:b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color w:val="1C4076"/>
          <w:sz w:val="22"/>
        </w:rPr>
        <w:t xml:space="preserve">5.4.1. Economy Class airfare </w:t>
      </w:r>
      <w:r>
        <w:rPr>
          <w:rFonts w:ascii="Avenir Next LT Pro" w:hAnsi="Avenir Next LT Pro"/>
          <w:b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color w:val="1C4076"/>
          <w:sz w:val="22"/>
        </w:rPr>
        <w:t xml:space="preserve">5.4.2. Restricted Business Class usage </w:t>
      </w:r>
      <w:r>
        <w:rPr>
          <w:rFonts w:ascii="Avenir Next LT Pro" w:hAnsi="Avenir Next LT Pro"/>
          <w:b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color w:val="1C4076"/>
          <w:sz w:val="22"/>
        </w:rPr>
        <w:t xml:space="preserve">5.4.3. Access to airport lounges </w:t>
      </w:r>
      <w:r>
        <w:rPr>
          <w:rFonts w:ascii="Avenir Next LT Pro" w:hAnsi="Avenir Next LT Pro"/>
          <w:b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color w:val="1C4076"/>
          <w:sz w:val="22"/>
        </w:rPr>
        <w:t xml:space="preserve"> </w:t>
      </w:r>
      <w:r>
        <w:rPr>
          <w:rFonts w:ascii="Avenir Next LT Pro" w:hAnsi="Avenir Next LT Pro"/>
          <w:b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color w:val="1C4076"/>
          <w:sz w:val="22"/>
        </w:rPr>
        <w:t xml:space="preserve">5.4.4. Rest periods after travel </w:t>
      </w:r>
      <w:r>
        <w:rPr>
          <w:rFonts w:ascii="Avenir Next LT Pro" w:hAnsi="Avenir Next LT Pro"/>
          <w:b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Travel Policy Implementation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