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rlo6igl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1"/>
              </w:rPr>
              <w:t>Introduction</w:t>
            </w:r>
          </w:p>
          <w:p>
            <w:pPr>
              <w:jc w:val="both"/>
            </w:pPr>
            <w:r>
              <w:rPr>
                <w:rFonts w:ascii="Avenir Next LT Pro" w:hAnsi="Avenir Next LT Pro"/>
                <w:b w:val="0"/>
                <w:color w:val="1C4076"/>
                <w:sz w:val="20"/>
              </w:rPr>
              <w:t>All employees should be able to travel</w:t>
            </w:r>
          </w:p>
          <w:p>
            <w:pPr>
              <w:jc w:val="both"/>
            </w:pPr>
            <w:r>
              <w:rPr>
                <w:rFonts w:ascii="Avenir Next LT Pro" w:hAnsi="Avenir Next LT Pro"/>
                <w:b w:val="0"/>
                <w:color w:val="1C4076"/>
                <w:sz w:val="20"/>
              </w:rPr>
              <w:t>in a safe and healthy manner.</w:t>
            </w:r>
          </w:p>
          <w:p>
            <w:pPr>
              <w:pStyle w:val="ListBullet"/>
            </w:pPr>
            <w:r>
              <w:rPr>
                <w:rFonts w:ascii="Avenir Next LT Pro" w:hAnsi="Avenir Next LT Pro"/>
                <w:b w:val="0"/>
                <w:color w:val="1C4076"/>
                <w:sz w:val="20"/>
              </w:rPr>
              <w:t>Travel insurance must be in place.</w:t>
            </w:r>
          </w:p>
          <w:p>
            <w:pPr>
              <w:pStyle w:val="ListBullet"/>
            </w:pPr>
            <w:r>
              <w:rPr>
                <w:rFonts w:ascii="Avenir Next LT Pro" w:hAnsi="Avenir Next LT Pro"/>
                <w:b w:val="0"/>
                <w:color w:val="1C4076"/>
                <w:sz w:val="20"/>
              </w:rPr>
              <w:t>Travellers should have access to support resources.</w:t>
            </w:r>
          </w:p>
          <w:p>
            <w:pPr>
              <w:pStyle w:val="ListBullet"/>
            </w:pPr>
            <w:r>
              <w:rPr>
                <w:rFonts w:ascii="Avenir Next LT Pro" w:hAnsi="Avenir Next LT Pro"/>
                <w:b w:val="0"/>
                <w:color w:val="1C4076"/>
                <w:sz w:val="20"/>
              </w:rPr>
              <w:t>Emergency preparedness is a prerequisite.</w:t>
            </w:r>
          </w:p>
          <w:p>
            <w:pPr>
              <w:pStyle w:val="ListBullet"/>
            </w:pPr>
            <w:r>
              <w:rPr>
                <w:rFonts w:ascii="Avenir Next LT Pro" w:hAnsi="Avenir Next LT Pro"/>
                <w:b w:val="0"/>
                <w:color w:val="1C4076"/>
                <w:sz w:val="20"/>
              </w:rPr>
              <w:t>Travel should be cost-conscious.</w:t>
            </w:r>
          </w:p>
          <w:p>
            <w:pPr>
              <w:spacing w:before="160" w:after="80"/>
            </w:pPr>
            <w:r>
              <w:rPr>
                <w:rFonts w:ascii="Avenir Next LT Pro" w:hAnsi="Avenir Next LT Pro"/>
                <w:b/>
                <w:color w:val="1C4076"/>
                <w:sz w:val="24"/>
              </w:rPr>
              <w:t>Principle 1: Travel insurance must be in place</w:t>
            </w:r>
          </w:p>
        </w:tc>
        <w:tc>
          <w:tcPr>
            <w:tcW w:type="dxa" w:w="5103"/>
          </w:tcPr>
          <w:p>
            <w:pPr>
              <w:jc w:val="both"/>
            </w:pPr>
            <w:r/>
            <w:r>
              <w:rPr>
                <w:rFonts w:ascii="Avenir Next LT Pro" w:hAnsi="Avenir Next LT Pro"/>
                <w:b w:val="0"/>
                <w:color w:val="1C4076"/>
                <w:sz w:val="20"/>
              </w:rPr>
              <w:t>Cost-consciousness should be practiced</w:t>
            </w:r>
          </w:p>
          <w:p>
            <w:pPr>
              <w:jc w:val="both"/>
            </w:pPr>
            <w:r>
              <w:rPr>
                <w:rFonts w:ascii="Avenir Next LT Pro" w:hAnsi="Avenir Next LT Pro"/>
                <w:b w:val="0"/>
                <w:color w:val="1C4076"/>
                <w:sz w:val="20"/>
              </w:rPr>
              <w:t>by all employees and managers</w:t>
            </w:r>
          </w:p>
        </w:tc>
      </w:tr>
    </w:tbl>
    <w:p>
      <w:pPr>
        <w:spacing w:after="200"/>
        <w:jc w:val="both"/>
      </w:pPr>
      <w:r>
        <w:rPr>
          <w:rFonts w:ascii="Avenir Next LT Pro" w:hAnsi="Avenir Next LT Pro"/>
          <w:b w:val="0"/>
          <w:color w:val="1C4076"/>
          <w:sz w:val="22"/>
        </w:rP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pPr>
        <w:spacing w:after="200"/>
        <w:jc w:val="both"/>
      </w:pPr>
      <w:r>
        <w:rPr>
          <w:rFonts w:ascii="Avenir Next LT Pro" w:hAnsi="Avenir Next LT Pro"/>
          <w:b/>
          <w:color w:val="1C4076"/>
          <w:sz w:val="22"/>
        </w:rPr>
        <w:t>Health &amp; Safety Cost-Consciouness</w:t>
      </w:r>
    </w:p>
    <w:p>
      <w:pPr>
        <w:spacing w:after="200"/>
        <w:jc w:val="both"/>
      </w:pPr>
      <w:r>
        <w:rPr>
          <w:rFonts w:ascii="Avenir Next LT Pro" w:hAnsi="Avenir Next LT Pro"/>
          <w:b w:val="0"/>
          <w:color w:val="1C4076"/>
          <w:sz w:val="22"/>
        </w:rP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spacing w:after="200"/>
        <w:jc w:val="both"/>
      </w:pPr>
      <w:r>
        <w:rPr>
          <w:rFonts w:ascii="Avenir Next LT Pro" w:hAnsi="Avenir Next LT Pro"/>
          <w:b w:val="0"/>
          <w:color w:val="1C4076"/>
          <w:sz w:val="22"/>
        </w:rP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spacing w:after="200"/>
        <w:jc w:val="both"/>
      </w:pPr>
      <w:r>
        <w:rPr>
          <w:rFonts w:ascii="Avenir Next LT Pro" w:hAnsi="Avenir Next LT Pro"/>
          <w:b w:val="0"/>
          <w:color w:val="1C4076"/>
          <w:sz w:val="22"/>
        </w:rP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pPr>
        <w:spacing w:after="200"/>
        <w:jc w:val="both"/>
      </w:pPr>
      <w:r>
        <w:rPr>
          <w:rFonts w:ascii="Avenir Next LT Pro" w:hAnsi="Avenir Next LT Pro"/>
          <w:b w:val="0"/>
          <w:color w:val="1C4076"/>
          <w:sz w:val="22"/>
        </w:rP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pPr>
        <w:spacing w:after="200"/>
        <w:jc w:val="both"/>
      </w:pPr>
      <w:r>
        <w:rPr>
          <w:rFonts w:ascii="Avenir Next LT Pro" w:hAnsi="Avenir Next LT Pro"/>
          <w:b w:val="0"/>
          <w:color w:val="1C4076"/>
          <w:sz w:val="22"/>
        </w:rP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pPr>
        <w:spacing w:after="200"/>
        <w:jc w:val="both"/>
      </w:pPr>
      <w:r>
        <w:rPr>
          <w:rFonts w:ascii="Avenir Next LT Pro" w:hAnsi="Avenir Next LT Pro"/>
          <w:b w:val="0"/>
          <w:color w:val="1C4076"/>
          <w:sz w:val="22"/>
        </w:rPr>
        <w:t>When inviting external stakeholders to events for which we handle travel arrangements, they must be informed that they are responsible for obtaining travel insurance as the BioMar insurance does not cover external stakeholders.</w:t>
      </w:r>
    </w:p>
    <w:p>
      <w:pPr>
        <w:keepNext/>
        <w:spacing w:before="260" w:after="160"/>
      </w:pPr>
      <w:r>
        <w:rPr>
          <w:rFonts w:ascii="Avenir Next LT Pro" w:hAnsi="Avenir Next LT Pro"/>
          <w:b/>
          <w:color w:val="1C4076"/>
          <w:sz w:val="28"/>
        </w:rPr>
        <w:t>Principle 2: Travellers should have access to support resources</w:t>
      </w:r>
    </w:p>
    <w:p>
      <w:pPr>
        <w:spacing w:after="200"/>
        <w:jc w:val="both"/>
      </w:pPr>
      <w:r>
        <w:rPr>
          <w:rFonts w:ascii="Avenir Next LT Pro" w:hAnsi="Avenir Next LT Pro"/>
          <w:b w:val="0"/>
          <w:color w:val="1C4076"/>
          <w:sz w:val="22"/>
        </w:rP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color w:val="FFFFFF"/>
                <w:sz w:val="17"/>
              </w:rPr>
              <w:t>Travel Support Resource</w:t>
            </w:r>
          </w:p>
        </w:tc>
        <w:tc>
          <w:tcPr>
            <w:tcW w:type="dxa" w:w="3402"/>
            <w:shd w:val="clear" w:fill="1C4076"/>
          </w:tcPr>
          <w:p>
            <w:r/>
            <w:r>
              <w:rPr>
                <w:rFonts w:ascii="Avenir Next LT Pro" w:hAnsi="Avenir Next LT Pro"/>
                <w:b/>
                <w:color w:val="FFFFFF"/>
                <w:sz w:val="17"/>
              </w:rPr>
            </w:r>
          </w:p>
        </w:tc>
        <w:tc>
          <w:tcPr>
            <w:tcW w:type="dxa" w:w="3402"/>
            <w:shd w:val="clear" w:fill="1C4076"/>
          </w:tcPr>
          <w:p>
            <w:r/>
            <w:r>
              <w:rPr>
                <w:rFonts w:ascii="Avenir Next LT Pro" w:hAnsi="Avenir Next LT Pro"/>
                <w:b/>
                <w:color w:val="FFFFFF"/>
                <w:sz w:val="17"/>
              </w:rPr>
            </w:r>
          </w:p>
        </w:tc>
      </w:tr>
      <w:tr>
        <w:tc>
          <w:tcPr>
            <w:tcW w:type="dxa" w:w="3402"/>
          </w:tcPr>
          <w:p>
            <w:r/>
            <w:r>
              <w:rPr>
                <w:rFonts w:ascii="Avenir Next LT Pro" w:hAnsi="Avenir Next LT Pro"/>
                <w:b w:val="0"/>
                <w:color w:val="1C4076"/>
                <w:sz w:val="17"/>
              </w:rPr>
              <w:t>Destination Information</w:t>
            </w:r>
          </w:p>
        </w:tc>
        <w:tc>
          <w:tcPr>
            <w:tcW w:type="dxa" w:w="3402"/>
          </w:tcPr>
          <w:p>
            <w:r/>
            <w:r>
              <w:rPr>
                <w:rFonts w:ascii="Avenir Next LT Pro" w:hAnsi="Avenir Next LT Pro"/>
                <w:b w:val="0"/>
                <w:color w:val="1C4076"/>
                <w:sz w:val="17"/>
              </w:rPr>
              <w:t>Travel Training</w:t>
            </w:r>
          </w:p>
        </w:tc>
        <w:tc>
          <w:tcPr>
            <w:tcW w:type="dxa" w:w="3402"/>
          </w:tcPr>
          <w:p>
            <w:r/>
            <w:r>
              <w:rPr>
                <w:rFonts w:ascii="Avenir Next LT Pro" w:hAnsi="Avenir Next LT Pro"/>
                <w:b w:val="0"/>
                <w:color w:val="1C4076"/>
                <w:sz w:val="17"/>
              </w:rPr>
              <w:t>Access to Assistance Centers</w:t>
            </w:r>
          </w:p>
        </w:tc>
      </w:tr>
      <w:tr>
        <w:tc>
          <w:tcPr>
            <w:tcW w:type="dxa" w:w="3402"/>
          </w:tcPr>
          <w:p>
            <w:r/>
            <w:r>
              <w:rPr>
                <w:rFonts w:ascii="Avenir Next LT Pro" w:hAnsi="Avenir Next LT Pro"/>
                <w:b w:val="0"/>
                <w:color w:val="1C4076"/>
                <w:sz w:val="17"/>
              </w:rP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3402"/>
          </w:tcPr>
          <w:p>
            <w:r/>
            <w:r>
              <w:rPr>
                <w:rFonts w:ascii="Avenir Next LT Pro" w:hAnsi="Avenir Next LT Pro"/>
                <w:b w:val="0"/>
                <w:color w:val="1C4076"/>
                <w:sz w:val="17"/>
              </w:rP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3402"/>
          </w:tcPr>
          <w:p>
            <w:r/>
            <w:r>
              <w:rPr>
                <w:rFonts w:ascii="Avenir Next LT Pro" w:hAnsi="Avenir Next LT Pro"/>
                <w:b w:val="0"/>
                <w:color w:val="1C4076"/>
                <w:sz w:val="17"/>
              </w:rP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Pr>
        <w:spacing w:after="200"/>
        <w:jc w:val="both"/>
      </w:pPr>
      <w:r>
        <w:rPr>
          <w:rFonts w:ascii="Avenir Next LT Pro" w:hAnsi="Avenir Next LT Pro"/>
          <w:b w:val="0"/>
          <w:color w:val="1C4076"/>
          <w:sz w:val="22"/>
        </w:rPr>
        <w:t>We encourage the proactive use of these resources to enhance travel safety and increase peace of mind.</w:t>
      </w:r>
    </w:p>
    <w:p>
      <w:pPr>
        <w:keepNext/>
        <w:spacing w:before="260" w:after="160"/>
      </w:pPr>
      <w:r>
        <w:rPr>
          <w:rFonts w:ascii="Avenir Next LT Pro" w:hAnsi="Avenir Next LT Pro"/>
          <w:b/>
          <w:color w:val="1C4076"/>
          <w:sz w:val="28"/>
        </w:rPr>
        <w:t>Principle 3: Emergency preparedness is a prerequisite</w:t>
      </w:r>
    </w:p>
    <w:p>
      <w:pPr>
        <w:spacing w:after="200"/>
        <w:jc w:val="both"/>
      </w:pPr>
      <w:r>
        <w:rPr>
          <w:rFonts w:ascii="Avenir Next LT Pro" w:hAnsi="Avenir Next LT Pro"/>
          <w:b w:val="0"/>
          <w:color w:val="1C4076"/>
          <w:sz w:val="22"/>
        </w:rP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pPr>
        <w:spacing w:after="200"/>
        <w:jc w:val="both"/>
      </w:pPr>
      <w:r>
        <w:rPr>
          <w:rFonts w:ascii="Avenir Next LT Pro" w:hAnsi="Avenir Next LT Pro"/>
          <w:b w:val="0"/>
          <w:color w:val="1C4076"/>
          <w:sz w:val="22"/>
        </w:rP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pPr>
        <w:spacing w:after="200"/>
        <w:jc w:val="both"/>
      </w:pPr>
      <w:r>
        <w:rPr>
          <w:rFonts w:ascii="Avenir Next LT Pro" w:hAnsi="Avenir Next LT Pro"/>
          <w:b w:val="0"/>
          <w:color w:val="1C4076"/>
          <w:sz w:val="22"/>
        </w:rP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pPr>
        <w:spacing w:after="200"/>
        <w:jc w:val="both"/>
      </w:pPr>
      <w:r>
        <w:rPr>
          <w:rFonts w:ascii="Avenir Next LT Pro" w:hAnsi="Avenir Next LT Pro"/>
          <w:b w:val="0"/>
          <w:color w:val="1C4076"/>
          <w:sz w:val="22"/>
        </w:rPr>
        <w:t>Before embarking on any business trip, employees must complete and regularly update their emergency contact information in Workday. This step is crucial for enabling BioMar to swiftly reach the appropriate contacts in case of an emergency.</w:t>
      </w:r>
    </w:p>
    <w:p>
      <w:pPr>
        <w:keepNext/>
        <w:spacing w:before="260" w:after="160"/>
      </w:pPr>
      <w:r>
        <w:rPr>
          <w:rFonts w:ascii="Avenir Next LT Pro" w:hAnsi="Avenir Next LT Pro"/>
          <w:b/>
          <w:color w:val="1C4076"/>
          <w:sz w:val="28"/>
        </w:rPr>
        <w:t>Principle 4: Travel should be cost-conscious</w:t>
      </w:r>
    </w:p>
    <w:p>
      <w:pPr>
        <w:spacing w:after="200"/>
        <w:jc w:val="both"/>
      </w:pPr>
      <w:r>
        <w:rPr>
          <w:rFonts w:ascii="Avenir Next LT Pro" w:hAnsi="Avenir Next LT Pro"/>
          <w:b w:val="0"/>
          <w:color w:val="1C4076"/>
          <w:sz w:val="22"/>
        </w:rP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pPr>
        <w:spacing w:after="200"/>
        <w:jc w:val="both"/>
      </w:pPr>
      <w:r>
        <w:rPr>
          <w:rFonts w:ascii="Avenir Next LT Pro" w:hAnsi="Avenir Next LT Pro"/>
          <w:b w:val="0"/>
          <w:color w:val="1C4076"/>
          <w:sz w:val="22"/>
        </w:rP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pPr>
        <w:spacing w:after="200"/>
        <w:jc w:val="both"/>
      </w:pPr>
      <w:r>
        <w:rPr>
          <w:rFonts w:ascii="Avenir Next LT Pro" w:hAnsi="Avenir Next LT Pro"/>
          <w:b w:val="0"/>
          <w:color w:val="1C4076"/>
          <w:sz w:val="22"/>
        </w:rP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pPr>
        <w:spacing w:after="200"/>
        <w:jc w:val="both"/>
      </w:pPr>
      <w:r>
        <w:rPr>
          <w:rFonts w:ascii="Avenir Next LT Pro" w:hAnsi="Avenir Next LT Pro"/>
          <w:b w:val="0"/>
          <w:color w:val="1C4076"/>
          <w:sz w:val="22"/>
        </w:rPr>
        <w:t>Additional information about the application of the policy can be found in the Travel Policy Implementation Guidelines.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Travel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