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zk4v6y7c.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relevant human rights, with particular focus on:</w:t>
      </w:r>
    </w:p>
    <w:p>
      <w:pPr>
        <w:spacing w:after="200"/>
        <w:jc w:val="both"/>
      </w:pPr>
      <w:r>
        <w:rPr>
          <w:rFonts w:ascii="Avenir Next LT Pro" w:hAnsi="Avenir Next LT Pro"/>
          <w:b w:val="0"/>
          <w:color w:val="1C4076"/>
          <w:sz w:val="22"/>
        </w:rPr>
        <w:t>1. Occupational health and safety</w:t>
      </w:r>
    </w:p>
    <w:p>
      <w:pPr>
        <w:spacing w:after="200"/>
        <w:jc w:val="both"/>
      </w:pPr>
      <w:r>
        <w:rPr>
          <w:rFonts w:ascii="Avenir Next LT Pro" w:hAnsi="Avenir Next LT Pro"/>
          <w:b w:val="0"/>
          <w:color w:val="1C4076"/>
          <w:sz w:val="22"/>
        </w:rPr>
        <w:t>2. Labour conditions for our employees and in the value chain</w:t>
      </w:r>
    </w:p>
    <w:p>
      <w:pPr>
        <w:spacing w:after="200"/>
        <w:jc w:val="both"/>
      </w:pPr>
      <w:r>
        <w:rPr>
          <w:rFonts w:ascii="Avenir Next LT Pro" w:hAnsi="Avenir Next LT Pro"/>
          <w:b w:val="0"/>
          <w:color w:val="1C4076"/>
          <w:sz w:val="22"/>
        </w:rPr>
        <w:t>3. Community rights, including indigenous communities</w:t>
      </w:r>
    </w:p>
    <w:p>
      <w:pPr>
        <w:spacing w:after="200"/>
        <w:jc w:val="both"/>
      </w:pPr>
      <w:r>
        <w:rPr>
          <w:rFonts w:ascii="Avenir Next LT Pro" w:hAnsi="Avenir Next LT Pro"/>
          <w:b w:val="0"/>
          <w:color w:val="1C4076"/>
          <w:sz w:val="22"/>
        </w:rPr>
        <w:t>4. 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that respects human and labour rights.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the Ethics Committee via a secure and confidential process and will provide feedback to the reporter within a reasonable timeframe and no later than 60 days from acknowledgement, or within the extended timeframe permitted by law for complex cases.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 (Only UK and AUS)</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2.1: </w:t>
            </w:r>
            <w:r>
              <w:rPr>
                <w:rFonts w:ascii="Avenir Next LT Pro" w:hAnsi="Avenir Next LT Pro"/>
                <w:b w:val="0"/>
                <w:color w:val="1C4076"/>
                <w:sz w:val="18"/>
              </w:rPr>
              <w:t>18-06-2026</w:t>
            </w:r>
          </w:p>
          <w:p>
            <w:r>
              <w:rPr>
                <w:rFonts w:ascii="Avenir Next LT Pro" w:hAnsi="Avenir Next LT Pro"/>
                <w:b/>
                <w:color w:val="1C4076"/>
                <w:sz w:val="18"/>
              </w:rPr>
              <w:t xml:space="preserve">Approval date: </w:t>
            </w:r>
            <w:r>
              <w:rPr>
                <w:rFonts w:ascii="Avenir Next LT Pro" w:hAnsi="Avenir Next LT Pro"/>
                <w:b w:val="0"/>
                <w:color w:val="1C4076"/>
                <w:sz w:val="18"/>
              </w:rPr>
              <w:t>18-06-2026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Human Rights Policy</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