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drawing>
          <wp:inline xmlns:a="http://schemas.openxmlformats.org/drawingml/2006/main" xmlns:pic="http://schemas.openxmlformats.org/drawingml/2006/picture">
            <wp:extent cx="7560000" cy="10690955"/>
            <wp:docPr id="1" name="Picture 1"/>
            <wp:cNvGraphicFramePr>
              <a:graphicFrameLocks noChangeAspect="1"/>
            </wp:cNvGraphicFramePr>
            <a:graphic>
              <a:graphicData uri="http://schemas.openxmlformats.org/drawingml/2006/picture">
                <pic:pic>
                  <pic:nvPicPr>
                    <pic:cNvPr id="0" name="tmp71msgduo.png"/>
                    <pic:cNvPicPr/>
                  </pic:nvPicPr>
                  <pic:blipFill>
                    <a:blip r:embed="rId9"/>
                    <a:stretch>
                      <a:fillRect/>
                    </a:stretch>
                  </pic:blipFill>
                  <pic:spPr>
                    <a:xfrm>
                      <a:off x="0" y="0"/>
                      <a:ext cx="7560000" cy="10690955"/>
                    </a:xfrm>
                    <a:prstGeom prst="rect"/>
                  </pic:spPr>
                </pic:pic>
              </a:graphicData>
            </a:graphic>
          </wp:inline>
        </w:drawing>
      </w:r>
    </w:p>
    <w:p>
      <w:pPr>
        <w:sectPr>
          <w:pgSz w:w="11906" w:h="16838"/>
          <w:pgMar w:top="0" w:right="0" w:bottom="0" w:left="0" w:header="0" w:footer="0" w:gutter="0"/>
          <w:cols w:space="720"/>
          <w:docGrid w:linePitch="360"/>
        </w:sectPr>
      </w:pPr>
    </w:p>
    <w:p>
      <w:pPr>
        <w:keepNext/>
        <w:tabs>
          <w:tab w:pos="708" w:val="left"/>
        </w:tabs>
        <w:spacing w:before="260" w:after="160"/>
        <w:ind w:left="708" w:hanging="708"/>
      </w:pPr>
      <w:r>
        <w:rPr>
          <w:rFonts w:ascii="Avenir Next LT Pro" w:hAnsi="Avenir Next LT Pro"/>
          <w:b/>
          <w:i w:val="0"/>
          <w:color w:val="1C4076"/>
          <w:sz w:val="28"/>
        </w:rPr>
        <w:t>1</w:t>
        <w:tab/>
        <w:t>Introduction</w:t>
      </w:r>
    </w:p>
    <w:p>
      <w:pPr>
        <w:tabs>
          <w:tab w:pos="708" w:val="left"/>
        </w:tabs>
        <w:spacing w:after="200"/>
        <w:ind w:left="708" w:hanging="708"/>
        <w:jc w:val="both"/>
      </w:pPr>
      <w:r>
        <w:rPr>
          <w:rFonts w:ascii="Avenir Next LT Pro" w:hAnsi="Avenir Next LT Pro"/>
          <w:b w:val="0"/>
          <w:i w:val="0"/>
          <w:color w:val="1C4076"/>
          <w:sz w:val="22"/>
        </w:rPr>
        <w:t>1.1</w:t>
        <w:tab/>
      </w:r>
      <w:r>
        <w:rPr>
          <w:rFonts w:ascii="Avenir Next LT Pro" w:hAnsi="Avenir Next LT Pro"/>
          <w:b w:val="0"/>
          <w:i w:val="0"/>
          <w:color w:val="1C4076"/>
          <w:sz w:val="22"/>
        </w:rPr>
        <w:t>These Internal Rules have been prepared to ensure BioMar Group A/S, CVR no. 38 57 06 17 (the “Company” and together with its subsidiaries, the “Group”), compliance with its disclosure obligations as a listed company with its shares admitted to trading and official listing on Nasdaq Copenhagen A/S (“Nasdaq Copenhagen”) in accordance with the Regulation (EU) No. 596/2014 (the “Market Abuse Regulation”) and delegated and implementing acts issued pursuant hereto, the Danish Capital Markets Act (the “Capital Markets Act”) and related executive orders as well the Nasdaq Nordic Main Market Rulebook for Issuers of Shares (the “Rules for Issuers”).</w:t>
      </w:r>
    </w:p>
    <w:p>
      <w:pPr>
        <w:tabs>
          <w:tab w:pos="708" w:val="left"/>
        </w:tabs>
        <w:spacing w:after="200"/>
        <w:ind w:left="708" w:hanging="708"/>
        <w:jc w:val="both"/>
      </w:pPr>
      <w:r>
        <w:rPr>
          <w:rFonts w:ascii="Avenir Next LT Pro" w:hAnsi="Avenir Next LT Pro"/>
          <w:b w:val="0"/>
          <w:i w:val="0"/>
          <w:color w:val="1C4076"/>
          <w:sz w:val="22"/>
        </w:rPr>
        <w:t>1.2</w:t>
        <w:tab/>
      </w:r>
      <w:r>
        <w:rPr>
          <w:rFonts w:ascii="Avenir Next LT Pro" w:hAnsi="Avenir Next LT Pro"/>
          <w:b w:val="0"/>
          <w:i w:val="0"/>
          <w:color w:val="1C4076"/>
          <w:sz w:val="22"/>
        </w:rPr>
        <w:t>These Internal Rules shall ensure that the Company provides the market with timely, reliable, accurate and up-to-date information. The Internal Rules constitutes the Company’s information policy as required under section 2.15.3(b) of the Rules for Issuers. The Company has further adopted an Investor Relations Policy which sets the framework for the Company’s communication with the investors, analysts and other stakeholders in the capital market.</w:t>
      </w:r>
    </w:p>
    <w:p>
      <w:pPr>
        <w:tabs>
          <w:tab w:pos="708" w:val="left"/>
        </w:tabs>
        <w:spacing w:after="200"/>
        <w:ind w:left="708" w:hanging="708"/>
        <w:jc w:val="both"/>
      </w:pPr>
      <w:r>
        <w:rPr>
          <w:rFonts w:ascii="Avenir Next LT Pro" w:hAnsi="Avenir Next LT Pro"/>
          <w:b w:val="0"/>
          <w:i w:val="0"/>
          <w:color w:val="1C4076"/>
          <w:sz w:val="22"/>
        </w:rPr>
        <w:t>1.3</w:t>
        <w:tab/>
      </w:r>
      <w:r>
        <w:rPr>
          <w:rFonts w:ascii="Avenir Next LT Pro" w:hAnsi="Avenir Next LT Pro"/>
          <w:b w:val="0"/>
          <w:i w:val="0"/>
          <w:color w:val="1C4076"/>
          <w:sz w:val="22"/>
        </w:rPr>
        <w:t>Defined terms used in these Internal Rules are set out in Appendix A.</w:t>
      </w:r>
    </w:p>
    <w:p>
      <w:pPr>
        <w:tabs>
          <w:tab w:pos="708" w:val="left"/>
        </w:tabs>
        <w:spacing w:after="200"/>
        <w:ind w:left="708" w:hanging="708"/>
        <w:jc w:val="both"/>
      </w:pPr>
      <w:r>
        <w:rPr>
          <w:rFonts w:ascii="Avenir Next LT Pro" w:hAnsi="Avenir Next LT Pro"/>
          <w:b w:val="0"/>
          <w:i w:val="0"/>
          <w:color w:val="1C4076"/>
          <w:sz w:val="22"/>
        </w:rPr>
        <w:t>1.4</w:t>
        <w:tab/>
      </w:r>
      <w:r>
        <w:rPr>
          <w:rFonts w:ascii="Avenir Next LT Pro" w:hAnsi="Avenir Next LT Pro"/>
          <w:b w:val="0"/>
          <w:i w:val="0"/>
          <w:color w:val="1C4076"/>
          <w:sz w:val="22"/>
        </w:rPr>
        <w:t>The rules set out herein shall be strictly adhered to. A breach of the Company’s disclosure obligations may result in public prosecution, a reprimand and/or a fine.</w:t>
      </w:r>
    </w:p>
    <w:p>
      <w:pPr>
        <w:tabs>
          <w:tab w:pos="708" w:val="left"/>
        </w:tabs>
        <w:spacing w:after="200"/>
        <w:ind w:left="708" w:hanging="708"/>
        <w:jc w:val="both"/>
      </w:pPr>
      <w:r>
        <w:rPr>
          <w:rFonts w:ascii="Avenir Next LT Pro" w:hAnsi="Avenir Next LT Pro"/>
          <w:b w:val="0"/>
          <w:i w:val="0"/>
          <w:color w:val="1C4076"/>
          <w:sz w:val="22"/>
        </w:rPr>
        <w:t>1.5</w:t>
        <w:tab/>
      </w:r>
      <w:r>
        <w:rPr>
          <w:rFonts w:ascii="Avenir Next LT Pro" w:hAnsi="Avenir Next LT Pro"/>
          <w:b w:val="0"/>
          <w:i w:val="0"/>
          <w:color w:val="1C4076"/>
          <w:sz w:val="22"/>
        </w:rPr>
        <w:t>These rules are reviewed regularly and at least once a year by the Company’s Board of Directors and Executive Management.</w:t>
      </w:r>
    </w:p>
    <w:p>
      <w:pPr>
        <w:keepNext/>
        <w:tabs>
          <w:tab w:pos="708" w:val="left"/>
        </w:tabs>
        <w:spacing w:before="260" w:after="160"/>
        <w:ind w:left="708" w:hanging="708"/>
      </w:pPr>
      <w:r>
        <w:rPr>
          <w:rFonts w:ascii="Avenir Next LT Pro" w:hAnsi="Avenir Next LT Pro"/>
          <w:b/>
          <w:i w:val="0"/>
          <w:color w:val="1C4076"/>
          <w:sz w:val="28"/>
        </w:rPr>
        <w:t>2</w:t>
        <w:tab/>
        <w:t>Persons responsible for compliance with the disclosure obligations</w:t>
      </w:r>
    </w:p>
    <w:p>
      <w:pPr>
        <w:tabs>
          <w:tab w:pos="708" w:val="left"/>
        </w:tabs>
        <w:spacing w:after="200"/>
        <w:ind w:left="708" w:hanging="708"/>
        <w:jc w:val="both"/>
      </w:pPr>
      <w:r>
        <w:rPr>
          <w:rFonts w:ascii="Avenir Next LT Pro" w:hAnsi="Avenir Next LT Pro"/>
          <w:b w:val="0"/>
          <w:i w:val="0"/>
          <w:color w:val="1C4076"/>
          <w:sz w:val="22"/>
        </w:rPr>
        <w:t>2.1</w:t>
        <w:tab/>
      </w:r>
      <w:r>
        <w:rPr>
          <w:rFonts w:ascii="Avenir Next LT Pro" w:hAnsi="Avenir Next LT Pro"/>
          <w:b w:val="0"/>
          <w:i w:val="0"/>
          <w:color w:val="1C4076"/>
          <w:sz w:val="22"/>
        </w:rPr>
        <w:t>Together with the Board of Directors, the Executive Management is primarily responsible for the Company’s compliance with its disclosure obligations.</w:t>
      </w:r>
    </w:p>
    <w:p>
      <w:pPr>
        <w:tabs>
          <w:tab w:pos="708" w:val="left"/>
        </w:tabs>
        <w:spacing w:after="200"/>
        <w:ind w:left="708" w:hanging="708"/>
        <w:jc w:val="both"/>
      </w:pPr>
      <w:r>
        <w:rPr>
          <w:rFonts w:ascii="Avenir Next LT Pro" w:hAnsi="Avenir Next LT Pro"/>
          <w:b w:val="0"/>
          <w:i w:val="0"/>
          <w:color w:val="1C4076"/>
          <w:sz w:val="22"/>
        </w:rPr>
        <w:t>2.2</w:t>
        <w:tab/>
      </w:r>
      <w:r>
        <w:rPr>
          <w:rFonts w:ascii="Avenir Next LT Pro" w:hAnsi="Avenir Next LT Pro"/>
          <w:b w:val="0"/>
          <w:i w:val="0"/>
          <w:color w:val="1C4076"/>
          <w:sz w:val="22"/>
        </w:rPr>
        <w:t>To assist the Executive Management, the Executive Management has established a Disclosure Committee currently consisting of the CEO, the CFO, the Chief Legal Officer, VP Strategy, Business Development &amp; M&amp;A and VP People, Purpose &amp; Communication. The responsibilities of the Disclosure Committee are set out in a separate Charter for the Disclosure Committee.</w:t>
      </w:r>
    </w:p>
    <w:p>
      <w:pPr>
        <w:keepNext/>
        <w:tabs>
          <w:tab w:pos="708" w:val="left"/>
        </w:tabs>
        <w:spacing w:before="260" w:after="160"/>
        <w:ind w:left="708" w:hanging="708"/>
      </w:pPr>
      <w:r>
        <w:rPr>
          <w:rFonts w:ascii="Avenir Next LT Pro" w:hAnsi="Avenir Next LT Pro"/>
          <w:b/>
          <w:i w:val="0"/>
          <w:color w:val="1C4076"/>
          <w:sz w:val="28"/>
        </w:rPr>
        <w:t>3</w:t>
        <w:tab/>
        <w:t>Disclosure of Inside Information (general disclosure obligation)</w:t>
      </w:r>
    </w:p>
    <w:p>
      <w:pPr>
        <w:tabs>
          <w:tab w:pos="708" w:val="left"/>
        </w:tabs>
        <w:spacing w:after="200"/>
        <w:ind w:left="708" w:hanging="708"/>
        <w:jc w:val="both"/>
      </w:pPr>
      <w:r>
        <w:rPr>
          <w:rFonts w:ascii="Avenir Next LT Pro" w:hAnsi="Avenir Next LT Pro"/>
          <w:b w:val="0"/>
          <w:i w:val="0"/>
          <w:color w:val="1C4076"/>
          <w:sz w:val="22"/>
        </w:rPr>
        <w:t>3.1</w:t>
        <w:tab/>
      </w:r>
      <w:r>
        <w:rPr>
          <w:rFonts w:ascii="Avenir Next LT Pro" w:hAnsi="Avenir Next LT Pro"/>
          <w:b w:val="0"/>
          <w:i w:val="0"/>
          <w:color w:val="1C4076"/>
          <w:sz w:val="22"/>
        </w:rPr>
        <w:t>The Company shall as soon as possible publicly disclose Inside Information, unless the Company is able to delay disclosure, see section 4. Inside Information is non-public information of a precise nature relating to the Group which if made public would be likely to have a significant effect on any securities issued by the Company and thus be of importance to a reasonable investor when making a decision whether to invest in securities issued by the Company. For a more detailed definition of Inside Information please refer to Appendix B. Significant changes concerning already publicly disclosed Inside Information shall be publicly disclosed promptly after these changes occur, and through the same channel as the one used for public disclosure of the original information.</w:t>
      </w:r>
    </w:p>
    <w:p>
      <w:pPr>
        <w:tabs>
          <w:tab w:pos="708" w:val="left"/>
        </w:tabs>
        <w:spacing w:after="200"/>
        <w:ind w:left="708" w:hanging="708"/>
        <w:jc w:val="both"/>
      </w:pPr>
      <w:r>
        <w:rPr>
          <w:rFonts w:ascii="Avenir Next LT Pro" w:hAnsi="Avenir Next LT Pro"/>
          <w:b w:val="0"/>
          <w:i w:val="0"/>
          <w:color w:val="1C4076"/>
          <w:sz w:val="22"/>
        </w:rPr>
        <w:t>3.2</w:t>
        <w:tab/>
      </w:r>
      <w:r>
        <w:rPr>
          <w:rFonts w:ascii="Avenir Next LT Pro" w:hAnsi="Avenir Next LT Pro"/>
          <w:b w:val="0"/>
          <w:i w:val="0"/>
          <w:color w:val="1C4076"/>
          <w:sz w:val="22"/>
        </w:rPr>
        <w:t>Where Inside Information concerns a process which occurs in stages, each stage of the process as well as the overall process could constitute Inside Information and, thus, trigger the Company’s general disclosure obligation until 5 June 2026 where an amendment to Article 17 of the Market Abuse Regulation enters into force. From 5 June 2026, the Company’s general disclosure obligation will be triggered once the final circumstances or final event has occurred in processes which occur in stages (as opposed to once the Inside Information arises), provided that confidentiality is ensured.</w:t>
      </w:r>
    </w:p>
    <w:p>
      <w:pPr>
        <w:tabs>
          <w:tab w:pos="708" w:val="left"/>
        </w:tabs>
        <w:spacing w:after="200"/>
        <w:ind w:left="708" w:hanging="708"/>
        <w:jc w:val="both"/>
      </w:pPr>
      <w:r>
        <w:rPr>
          <w:rFonts w:ascii="Avenir Next LT Pro" w:hAnsi="Avenir Next LT Pro"/>
          <w:b w:val="0"/>
          <w:i w:val="0"/>
          <w:color w:val="1C4076"/>
          <w:sz w:val="22"/>
        </w:rPr>
        <w:t>3.3</w:t>
        <w:tab/>
      </w:r>
      <w:r>
        <w:rPr>
          <w:rFonts w:ascii="Avenir Next LT Pro" w:hAnsi="Avenir Next LT Pro"/>
          <w:b w:val="0"/>
          <w:i w:val="0"/>
          <w:color w:val="1C4076"/>
          <w:sz w:val="22"/>
        </w:rPr>
        <w:t>The Disclosure Committee shall assist the Executive Management and Board of Directors in their assessment of whether a matter is likely to constitute or constitutes Inside Information.</w:t>
      </w:r>
    </w:p>
    <w:p>
      <w:pPr>
        <w:tabs>
          <w:tab w:pos="708" w:val="left"/>
        </w:tabs>
        <w:spacing w:after="200"/>
        <w:ind w:left="708" w:hanging="708"/>
        <w:jc w:val="both"/>
      </w:pPr>
      <w:r>
        <w:rPr>
          <w:rFonts w:ascii="Avenir Next LT Pro" w:hAnsi="Avenir Next LT Pro"/>
          <w:b w:val="0"/>
          <w:i w:val="0"/>
          <w:color w:val="1C4076"/>
          <w:sz w:val="22"/>
        </w:rPr>
        <w:t>3.4</w:t>
        <w:tab/>
      </w:r>
      <w:r>
        <w:rPr>
          <w:rFonts w:ascii="Avenir Next LT Pro" w:hAnsi="Avenir Next LT Pro"/>
          <w:b w:val="0"/>
          <w:i w:val="0"/>
          <w:color w:val="1C4076"/>
          <w:sz w:val="22"/>
        </w:rPr>
        <w:t>Any decision to disclose Inside Information or delay disclosure is made by the Executive Management together with the Chair of the Board of Directors and, if deemed relevant or requested, the Board of Directors based on recommendation from the Disclosure Committee.</w:t>
      </w:r>
    </w:p>
    <w:p>
      <w:pPr>
        <w:tabs>
          <w:tab w:pos="708" w:val="left"/>
        </w:tabs>
        <w:spacing w:after="200"/>
        <w:ind w:left="708" w:hanging="708"/>
        <w:jc w:val="both"/>
      </w:pPr>
      <w:r>
        <w:rPr>
          <w:rFonts w:ascii="Avenir Next LT Pro" w:hAnsi="Avenir Next LT Pro"/>
          <w:b w:val="0"/>
          <w:i w:val="0"/>
          <w:color w:val="1C4076"/>
          <w:sz w:val="22"/>
        </w:rPr>
        <w:t>3.5</w:t>
        <w:tab/>
      </w:r>
      <w:r>
        <w:rPr>
          <w:rFonts w:ascii="Avenir Next LT Pro" w:hAnsi="Avenir Next LT Pro"/>
          <w:b w:val="0"/>
          <w:i w:val="0"/>
          <w:color w:val="1C4076"/>
          <w:sz w:val="22"/>
        </w:rPr>
        <w:t>The Company shall, to the extent possible, prepare draft announcements to facilitate disclosure as soon as possible if it is apparent that certain information may become Inside Information. If such information relates to scenarios with only a limited number of expected outcomes, the Company shall prepare alternative draft announcements for each outcome.</w:t>
      </w:r>
    </w:p>
    <w:p>
      <w:pPr>
        <w:tabs>
          <w:tab w:pos="708" w:val="left"/>
        </w:tabs>
        <w:spacing w:after="200"/>
        <w:ind w:left="708" w:hanging="708"/>
        <w:jc w:val="both"/>
      </w:pPr>
      <w:r>
        <w:rPr>
          <w:rFonts w:ascii="Avenir Next LT Pro" w:hAnsi="Avenir Next LT Pro"/>
          <w:b w:val="0"/>
          <w:i w:val="0"/>
          <w:color w:val="1C4076"/>
          <w:sz w:val="22"/>
        </w:rPr>
        <w:t>3.6</w:t>
        <w:tab/>
      </w:r>
      <w:r>
        <w:rPr>
          <w:rFonts w:ascii="Avenir Next LT Pro" w:hAnsi="Avenir Next LT Pro"/>
          <w:b w:val="0"/>
          <w:i w:val="0"/>
          <w:color w:val="1C4076"/>
          <w:sz w:val="22"/>
        </w:rPr>
        <w:t>In addition to the general disclosure obligations set out above, the Company is subject to certain specific disclosure requirements pursuant to the Capital Markets Act, the Danish Companies Act and the Rules for Issuers that require the Company to inform the market, inter alia, in case of amendments to the capital structure, changes to the Board of Directors and Executive Management and transactions with related parties. Moreover, the Company is subject to certain regular disclosure requirements that apply on a continuous basis, inter alia, in connection with general meetings of the Company and financial reporting. These disclosure obligations apply regardless of whether or not such matters constitute Inside Information. The definition of Inside Information and a non-exhaustive list of circumstances, which may constitute Inside Information and would thus be comprised by the Company’s general disclosure obligation, are set out in the definition of Inside Information in Appendix B.</w:t>
      </w:r>
    </w:p>
    <w:p>
      <w:pPr>
        <w:keepNext/>
        <w:tabs>
          <w:tab w:pos="708" w:val="left"/>
        </w:tabs>
        <w:spacing w:before="260" w:after="160"/>
        <w:ind w:left="708" w:hanging="708"/>
      </w:pPr>
      <w:r>
        <w:rPr>
          <w:rFonts w:ascii="Avenir Next LT Pro" w:hAnsi="Avenir Next LT Pro"/>
          <w:b/>
          <w:i w:val="0"/>
          <w:color w:val="1C4076"/>
          <w:sz w:val="28"/>
        </w:rPr>
        <w:t>4</w:t>
        <w:tab/>
        <w:t>Delay of disclosure of Inside Information</w:t>
      </w:r>
    </w:p>
    <w:p>
      <w:pPr>
        <w:tabs>
          <w:tab w:pos="708" w:val="left"/>
        </w:tabs>
        <w:spacing w:after="200"/>
        <w:ind w:left="708" w:hanging="708"/>
        <w:jc w:val="both"/>
      </w:pPr>
      <w:r>
        <w:rPr>
          <w:rFonts w:ascii="Avenir Next LT Pro" w:hAnsi="Avenir Next LT Pro"/>
          <w:b w:val="0"/>
          <w:i w:val="0"/>
          <w:color w:val="1C4076"/>
          <w:sz w:val="22"/>
        </w:rPr>
        <w:t>4.1</w:t>
        <w:tab/>
      </w:r>
      <w:r>
        <w:rPr>
          <w:rFonts w:ascii="Avenir Next LT Pro" w:hAnsi="Avenir Next LT Pro"/>
          <w:b w:val="0"/>
          <w:i w:val="0"/>
          <w:color w:val="1C4076"/>
          <w:sz w:val="22"/>
        </w:rPr>
        <w:t>The Company may at its own responsibility delay the disclosure to the public of Inside Information provided that all of the following conditions are met:</w:t>
      </w:r>
    </w:p>
    <w:p>
      <w:pPr>
        <w:tabs>
          <w:tab w:pos="1416" w:val="left"/>
        </w:tabs>
        <w:spacing w:after="80"/>
        <w:ind w:left="1416" w:hanging="708"/>
      </w:pPr>
      <w:r>
        <w:rPr>
          <w:rFonts w:ascii="Avenir Next LT Pro" w:hAnsi="Avenir Next LT Pro"/>
          <w:b w:val="0"/>
          <w:i w:val="0"/>
          <w:color w:val="1C4076"/>
          <w:sz w:val="22"/>
        </w:rPr>
        <w:t>(a)</w:t>
        <w:tab/>
        <w:t>Immediate disclosure is likely to prejudice the Company’s legitimate interests;</w:t>
      </w:r>
    </w:p>
    <w:p>
      <w:pPr>
        <w:tabs>
          <w:tab w:pos="1416" w:val="left"/>
        </w:tabs>
        <w:spacing w:after="80"/>
        <w:ind w:left="1416" w:hanging="708"/>
      </w:pPr>
      <w:r>
        <w:rPr>
          <w:rFonts w:ascii="Avenir Next LT Pro" w:hAnsi="Avenir Next LT Pro"/>
          <w:b w:val="0"/>
          <w:i w:val="0"/>
          <w:color w:val="1C4076"/>
          <w:sz w:val="22"/>
        </w:rPr>
        <w:t>(b)</w:t>
        <w:tab/>
        <w:t>delay of disclosure is not likely to mislead the public (on 5 June 2026 an amendment to Article 17 of the Market Abuse Regulation enters into force and the condition is amended to the effect that the Inside Information, which is subject to delay of disclosure may not be in contrast with the latest public announcement or other type of communication by the Company on the matter to which the Inside Information relates. However, this is consistent with the existing guidelines from ESMA and thus not expected to change the current practice significantly); and</w:t>
      </w:r>
    </w:p>
    <w:p>
      <w:pPr>
        <w:tabs>
          <w:tab w:pos="1416" w:val="left"/>
        </w:tabs>
        <w:spacing w:after="80"/>
        <w:ind w:left="1416" w:hanging="708"/>
      </w:pPr>
      <w:r>
        <w:rPr>
          <w:rFonts w:ascii="Avenir Next LT Pro" w:hAnsi="Avenir Next LT Pro"/>
          <w:b w:val="0"/>
          <w:i w:val="0"/>
          <w:color w:val="1C4076"/>
          <w:sz w:val="22"/>
        </w:rPr>
        <w:t>(c)</w:t>
        <w:tab/>
        <w:t>the Company is able to ensure the confidentiality of the Inside Information in question.</w:t>
      </w:r>
    </w:p>
    <w:p>
      <w:pPr>
        <w:tabs>
          <w:tab w:pos="708" w:val="left"/>
        </w:tabs>
        <w:spacing w:after="200"/>
        <w:ind w:left="708" w:hanging="708"/>
        <w:jc w:val="both"/>
      </w:pPr>
      <w:r>
        <w:rPr>
          <w:rFonts w:ascii="Avenir Next LT Pro" w:hAnsi="Avenir Next LT Pro"/>
          <w:b w:val="0"/>
          <w:i w:val="0"/>
          <w:color w:val="1C4076"/>
          <w:sz w:val="22"/>
        </w:rPr>
        <w:t>4.2</w:t>
        <w:tab/>
      </w:r>
      <w:r>
        <w:rPr>
          <w:rFonts w:ascii="Avenir Next LT Pro" w:hAnsi="Avenir Next LT Pro"/>
          <w:b w:val="0"/>
          <w:i w:val="0"/>
          <w:color w:val="1C4076"/>
          <w:sz w:val="22"/>
        </w:rPr>
        <w:t>The right to delay the disclosure of Inside Information shall apply similarly in the case of a protracted process that occurs in stages and that is intended to bring about, or that results in, a particular circumstance or a particular event. On 5 June 2026 an amendment to Article 17 of the Market Abuse Regulation enters into force. From 5 June 2026, the Company’s general disclosure obligation will be triggered once the final circumstances or final event has occurred in processes which occur in stages (as opposed to once the Inside Information arises) provided that confidentiality is ensured.</w:t>
      </w:r>
    </w:p>
    <w:p>
      <w:pPr>
        <w:tabs>
          <w:tab w:pos="708" w:val="left"/>
        </w:tabs>
        <w:spacing w:after="200"/>
        <w:ind w:left="708" w:hanging="708"/>
        <w:jc w:val="both"/>
      </w:pPr>
      <w:r>
        <w:rPr>
          <w:rFonts w:ascii="Avenir Next LT Pro" w:hAnsi="Avenir Next LT Pro"/>
          <w:b w:val="0"/>
          <w:i w:val="0"/>
          <w:color w:val="1C4076"/>
          <w:sz w:val="22"/>
        </w:rPr>
        <w:t>4.3</w:t>
        <w:tab/>
      </w:r>
      <w:r>
        <w:rPr>
          <w:rFonts w:ascii="Avenir Next LT Pro" w:hAnsi="Avenir Next LT Pro"/>
          <w:b w:val="0"/>
          <w:i w:val="0"/>
          <w:color w:val="1C4076"/>
          <w:sz w:val="22"/>
        </w:rPr>
        <w:t>The assessment of whether the Company’s legitimate interests may be prejudiced is made on a case-by-case basis. The Company’s legitimate interests may be prejudiced in the following non-exhaustive situations:</w:t>
      </w:r>
    </w:p>
    <w:p>
      <w:pPr>
        <w:tabs>
          <w:tab w:pos="1416" w:val="left"/>
        </w:tabs>
        <w:spacing w:after="80"/>
        <w:ind w:left="1416" w:hanging="708"/>
      </w:pPr>
      <w:r>
        <w:rPr>
          <w:rFonts w:ascii="Avenir Next LT Pro" w:hAnsi="Avenir Next LT Pro"/>
          <w:b w:val="0"/>
          <w:i w:val="0"/>
          <w:color w:val="1C4076"/>
          <w:sz w:val="22"/>
        </w:rPr>
        <w:t>(a)</w:t>
        <w:tab/>
        <w:t>The Company is conducting negotiations where the outcome or normal pattern of those negotiations would be likely to be jeopardized by public disclosure; or</w:t>
      </w:r>
    </w:p>
    <w:p>
      <w:pPr>
        <w:tabs>
          <w:tab w:pos="1416" w:val="left"/>
        </w:tabs>
        <w:spacing w:after="80"/>
        <w:ind w:left="1416" w:hanging="708"/>
      </w:pPr>
      <w:r>
        <w:rPr>
          <w:rFonts w:ascii="Avenir Next LT Pro" w:hAnsi="Avenir Next LT Pro"/>
          <w:b w:val="0"/>
          <w:i w:val="0"/>
          <w:color w:val="1C4076"/>
          <w:sz w:val="22"/>
        </w:rPr>
        <w:t>(b)</w:t>
        <w:tab/>
        <w:t>the Company is planning to buy or sell a substantial activity, and the disclosure of such information would jeopardize the conclusion of the transaction.</w:t>
      </w:r>
    </w:p>
    <w:p>
      <w:pPr>
        <w:tabs>
          <w:tab w:pos="708" w:val="left"/>
        </w:tabs>
        <w:spacing w:after="200"/>
        <w:ind w:left="708" w:hanging="708"/>
        <w:jc w:val="both"/>
      </w:pPr>
      <w:r>
        <w:rPr>
          <w:rFonts w:ascii="Avenir Next LT Pro" w:hAnsi="Avenir Next LT Pro"/>
          <w:b w:val="0"/>
          <w:i w:val="0"/>
          <w:color w:val="1C4076"/>
          <w:sz w:val="22"/>
        </w:rPr>
        <w:t>4.4</w:t>
        <w:tab/>
      </w:r>
      <w:r>
        <w:rPr>
          <w:rFonts w:ascii="Avenir Next LT Pro" w:hAnsi="Avenir Next LT Pro"/>
          <w:b w:val="0"/>
          <w:i w:val="0"/>
          <w:color w:val="1C4076"/>
          <w:sz w:val="22"/>
        </w:rPr>
        <w:t>Disclosure cannot be delayed if a delay is likely to mislead the public. It shall always be determined on a case-by-case basis whether a delay will be likely to mislead the public. A delay is likely to mislead the public in the following situations:</w:t>
      </w:r>
    </w:p>
    <w:p>
      <w:pPr>
        <w:tabs>
          <w:tab w:pos="1416" w:val="left"/>
        </w:tabs>
        <w:spacing w:after="80"/>
        <w:ind w:left="1416" w:hanging="708"/>
      </w:pPr>
      <w:r>
        <w:rPr>
          <w:rFonts w:ascii="Avenir Next LT Pro" w:hAnsi="Avenir Next LT Pro"/>
          <w:b w:val="0"/>
          <w:i w:val="0"/>
          <w:color w:val="1C4076"/>
          <w:sz w:val="22"/>
        </w:rPr>
        <w:t>(a)</w:t>
        <w:tab/>
        <w:t>The information is materially different from a previous public announcement of the Company on the matter to which the information refers;</w:t>
      </w:r>
    </w:p>
    <w:p>
      <w:pPr>
        <w:tabs>
          <w:tab w:pos="1416" w:val="left"/>
        </w:tabs>
        <w:spacing w:after="80"/>
        <w:ind w:left="1416" w:hanging="708"/>
      </w:pPr>
      <w:r>
        <w:rPr>
          <w:rFonts w:ascii="Avenir Next LT Pro" w:hAnsi="Avenir Next LT Pro"/>
          <w:b w:val="0"/>
          <w:i w:val="0"/>
          <w:color w:val="1C4076"/>
          <w:sz w:val="22"/>
        </w:rPr>
        <w:t>(b)</w:t>
        <w:tab/>
        <w:t>the information concerns the fact that the Company’s financial objectives are likely not to be met, where such objectives were previously publicly announced (i.e. changes to financial outlook shall always be disclosed promptly); or</w:t>
      </w:r>
    </w:p>
    <w:p>
      <w:pPr>
        <w:tabs>
          <w:tab w:pos="1416" w:val="left"/>
        </w:tabs>
        <w:spacing w:after="80"/>
        <w:ind w:left="1416" w:hanging="708"/>
      </w:pPr>
      <w:r>
        <w:rPr>
          <w:rFonts w:ascii="Avenir Next LT Pro" w:hAnsi="Avenir Next LT Pro"/>
          <w:b w:val="0"/>
          <w:i w:val="0"/>
          <w:color w:val="1C4076"/>
          <w:sz w:val="22"/>
        </w:rPr>
        <w:t>(c)</w:t>
        <w:tab/>
        <w:t>the information is in contrast with the market’s expectations, where such expectations are based on signals that the Company has previously communicated (for example in press releases or an interview with the CEO).</w:t>
      </w:r>
    </w:p>
    <w:p>
      <w:pPr>
        <w:tabs>
          <w:tab w:pos="708" w:val="left"/>
        </w:tabs>
        <w:spacing w:after="200"/>
        <w:ind w:left="708" w:hanging="708"/>
        <w:jc w:val="both"/>
      </w:pPr>
      <w:r>
        <w:rPr>
          <w:rFonts w:ascii="Avenir Next LT Pro" w:hAnsi="Avenir Next LT Pro"/>
          <w:b w:val="0"/>
          <w:i w:val="0"/>
          <w:color w:val="1C4076"/>
          <w:sz w:val="22"/>
        </w:rPr>
        <w:t>4.5</w:t>
        <w:tab/>
      </w:r>
      <w:r>
        <w:rPr>
          <w:rFonts w:ascii="Avenir Next LT Pro" w:hAnsi="Avenir Next LT Pro"/>
          <w:b w:val="0"/>
          <w:i w:val="0"/>
          <w:color w:val="1C4076"/>
          <w:sz w:val="22"/>
        </w:rPr>
        <w:t>If the Company has delayed disclosure of Inside Information, the Company shall:</w:t>
      </w:r>
    </w:p>
    <w:p>
      <w:pPr>
        <w:tabs>
          <w:tab w:pos="708" w:val="left"/>
        </w:tabs>
        <w:spacing w:after="200"/>
        <w:ind w:left="708" w:hanging="708"/>
        <w:jc w:val="both"/>
      </w:pPr>
      <w:r>
        <w:rPr>
          <w:rFonts w:ascii="Avenir Next LT Pro" w:hAnsi="Avenir Next LT Pro"/>
          <w:b w:val="0"/>
          <w:i w:val="0"/>
          <w:color w:val="1C4076"/>
          <w:sz w:val="22"/>
        </w:rPr>
        <w:t>1.</w:t>
        <w:tab/>
      </w:r>
      <w:r>
        <w:rPr>
          <w:rFonts w:ascii="Avenir Next LT Pro" w:hAnsi="Avenir Next LT Pro"/>
          <w:b w:val="0"/>
          <w:i w:val="0"/>
          <w:color w:val="1C4076"/>
          <w:sz w:val="22"/>
        </w:rPr>
        <w:t>Upon disclosure to the market, notify the Danish Financial Supervisory Authority that the disclosure of the Inside Information was delayed; and</w:t>
      </w:r>
    </w:p>
    <w:p>
      <w:pPr>
        <w:tabs>
          <w:tab w:pos="708" w:val="left"/>
        </w:tabs>
        <w:spacing w:after="200"/>
        <w:ind w:left="708" w:hanging="708"/>
        <w:jc w:val="both"/>
      </w:pPr>
      <w:r>
        <w:rPr>
          <w:rFonts w:ascii="Avenir Next LT Pro" w:hAnsi="Avenir Next LT Pro"/>
          <w:b w:val="0"/>
          <w:i w:val="0"/>
          <w:color w:val="1C4076"/>
          <w:sz w:val="22"/>
        </w:rPr>
        <w:t>2.</w:t>
        <w:tab/>
      </w:r>
      <w:r>
        <w:rPr>
          <w:rFonts w:ascii="Avenir Next LT Pro" w:hAnsi="Avenir Next LT Pro"/>
          <w:b w:val="0"/>
          <w:i w:val="0"/>
          <w:color w:val="1C4076"/>
          <w:sz w:val="22"/>
        </w:rPr>
        <w:t>upon request of the Danish Financial Supervisory Authority, submit a written explanation on how the conditions for delay listed in section 4.1 were met.</w:t>
      </w:r>
    </w:p>
    <w:p>
      <w:pPr>
        <w:tabs>
          <w:tab w:pos="708" w:val="left"/>
        </w:tabs>
        <w:spacing w:after="200"/>
        <w:ind w:left="708" w:hanging="708"/>
        <w:jc w:val="both"/>
      </w:pPr>
      <w:r>
        <w:rPr>
          <w:rFonts w:ascii="Avenir Next LT Pro" w:hAnsi="Avenir Next LT Pro"/>
          <w:b w:val="0"/>
          <w:i w:val="0"/>
          <w:color w:val="1C4076"/>
          <w:sz w:val="22"/>
        </w:rPr>
        <w:t>4.6</w:t>
        <w:tab/>
      </w:r>
      <w:r>
        <w:rPr>
          <w:rFonts w:ascii="Avenir Next LT Pro" w:hAnsi="Avenir Next LT Pro"/>
          <w:b w:val="0"/>
          <w:i w:val="0"/>
          <w:color w:val="1C4076"/>
          <w:sz w:val="22"/>
        </w:rPr>
        <w:t>The Disclosure Committee will handle the process of making the notification and preparing the written explanation. The written explanation will be prepared and updated from the time the decision to delay is made.</w:t>
      </w:r>
    </w:p>
    <w:p>
      <w:pPr>
        <w:tabs>
          <w:tab w:pos="708" w:val="left"/>
        </w:tabs>
        <w:spacing w:after="200"/>
        <w:ind w:left="708" w:hanging="708"/>
        <w:jc w:val="both"/>
      </w:pPr>
      <w:r>
        <w:rPr>
          <w:rFonts w:ascii="Avenir Next LT Pro" w:hAnsi="Avenir Next LT Pro"/>
          <w:b w:val="0"/>
          <w:i w:val="0"/>
          <w:color w:val="1C4076"/>
          <w:sz w:val="22"/>
        </w:rPr>
        <w:t>4.7</w:t>
        <w:tab/>
      </w:r>
      <w:r>
        <w:rPr>
          <w:rFonts w:ascii="Avenir Next LT Pro" w:hAnsi="Avenir Next LT Pro"/>
          <w:b w:val="0"/>
          <w:i w:val="0"/>
          <w:color w:val="1C4076"/>
          <w:sz w:val="22"/>
        </w:rPr>
        <w:t>When disclosure of Inside Information is delayed, the Company, assisted by the Disclosure Committee, shall on an ongoing basis assess whether the information to which the delay relates continues to qualify as Inside Information and whether the conditions for delay of disclosure continues to be fulfilled. Draft announcements regarding leaks and, to the extent deemed relevant, a leak protocol shall be prepared by the Disclosure Committee when disclosure of Inside Information has been delayed. The procedure for handling leaks is set out in section 5 below.</w:t>
      </w:r>
    </w:p>
    <w:p>
      <w:pPr>
        <w:keepNext/>
        <w:tabs>
          <w:tab w:pos="708" w:val="left"/>
        </w:tabs>
        <w:spacing w:before="260" w:after="160"/>
        <w:ind w:left="708" w:hanging="708"/>
      </w:pPr>
      <w:r>
        <w:rPr>
          <w:rFonts w:ascii="Avenir Next LT Pro" w:hAnsi="Avenir Next LT Pro"/>
          <w:b/>
          <w:i w:val="0"/>
          <w:color w:val="1C4076"/>
          <w:sz w:val="28"/>
        </w:rPr>
        <w:t>5</w:t>
        <w:tab/>
        <w:t>Confidentiality can no longer be ensured</w:t>
      </w:r>
    </w:p>
    <w:p>
      <w:pPr>
        <w:tabs>
          <w:tab w:pos="708" w:val="left"/>
        </w:tabs>
        <w:spacing w:after="200"/>
        <w:ind w:left="708" w:hanging="708"/>
        <w:jc w:val="both"/>
      </w:pPr>
      <w:r>
        <w:rPr>
          <w:rFonts w:ascii="Avenir Next LT Pro" w:hAnsi="Avenir Next LT Pro"/>
          <w:b w:val="0"/>
          <w:i w:val="0"/>
          <w:color w:val="1C4076"/>
          <w:sz w:val="22"/>
        </w:rPr>
        <w:t>5.1</w:t>
        <w:tab/>
      </w:r>
      <w:r>
        <w:rPr>
          <w:rFonts w:ascii="Avenir Next LT Pro" w:hAnsi="Avenir Next LT Pro"/>
          <w:b w:val="0"/>
          <w:i w:val="0"/>
          <w:color w:val="1C4076"/>
          <w:sz w:val="22"/>
        </w:rPr>
        <w:t>Where disclosure of Inside Information has been delayed and the Company learns that the Inside Information is no longer kept confidential, e.g. due to an information leak, the Company shall as soon as possible publish the part of the Inside Information which is no longer kept confidential. Disclosure shall also be made where a rumor explicitly relates to Inside Information, the disclosure of which has been delayed, where the rumor is sufficiently accurate to indicate that the confidentiality of the Inside Information is no longer ensured.</w:t>
      </w:r>
    </w:p>
    <w:p>
      <w:pPr>
        <w:tabs>
          <w:tab w:pos="708" w:val="left"/>
        </w:tabs>
        <w:spacing w:after="200"/>
        <w:ind w:left="708" w:hanging="708"/>
        <w:jc w:val="both"/>
      </w:pPr>
      <w:r>
        <w:rPr>
          <w:rFonts w:ascii="Avenir Next LT Pro" w:hAnsi="Avenir Next LT Pro"/>
          <w:b w:val="0"/>
          <w:i w:val="0"/>
          <w:color w:val="1C4076"/>
          <w:sz w:val="22"/>
        </w:rPr>
        <w:t>5.2</w:t>
        <w:tab/>
      </w:r>
      <w:r>
        <w:rPr>
          <w:rFonts w:ascii="Avenir Next LT Pro" w:hAnsi="Avenir Next LT Pro"/>
          <w:b w:val="0"/>
          <w:i w:val="0"/>
          <w:color w:val="1C4076"/>
          <w:sz w:val="22"/>
        </w:rPr>
        <w:t>The Company is only required to publish the leaked information and not the entire Inside Information of which the leaked information forms a part, provided that such disclosure of the leaked information is not misleading when assessed together with the Inside Information of which it forms a part.</w:t>
      </w:r>
    </w:p>
    <w:p>
      <w:pPr>
        <w:tabs>
          <w:tab w:pos="708" w:val="left"/>
        </w:tabs>
        <w:spacing w:after="200"/>
        <w:ind w:left="708" w:hanging="708"/>
        <w:jc w:val="both"/>
      </w:pPr>
      <w:r>
        <w:rPr>
          <w:rFonts w:ascii="Avenir Next LT Pro" w:hAnsi="Avenir Next LT Pro"/>
          <w:b w:val="0"/>
          <w:i w:val="0"/>
          <w:color w:val="1C4076"/>
          <w:sz w:val="22"/>
        </w:rPr>
        <w:t>5.3</w:t>
        <w:tab/>
      </w:r>
      <w:r>
        <w:rPr>
          <w:rFonts w:ascii="Avenir Next LT Pro" w:hAnsi="Avenir Next LT Pro"/>
          <w:b w:val="0"/>
          <w:i w:val="0"/>
          <w:color w:val="1C4076"/>
          <w:sz w:val="22"/>
        </w:rPr>
        <w:t>Nasdaq Copenhagen’s surveillance function may be contacted and consulted in situations regarding potential leaks.</w:t>
      </w:r>
    </w:p>
    <w:p>
      <w:pPr>
        <w:keepNext/>
        <w:tabs>
          <w:tab w:pos="708" w:val="left"/>
        </w:tabs>
        <w:spacing w:before="260" w:after="160"/>
        <w:ind w:left="708" w:hanging="708"/>
      </w:pPr>
      <w:r>
        <w:rPr>
          <w:rFonts w:ascii="Avenir Next LT Pro" w:hAnsi="Avenir Next LT Pro"/>
          <w:b/>
          <w:i w:val="0"/>
          <w:color w:val="1C4076"/>
          <w:sz w:val="28"/>
        </w:rPr>
        <w:t>6</w:t>
        <w:tab/>
        <w:t>Authorisation to publish company announcements in urgent matters</w:t>
      </w:r>
    </w:p>
    <w:p>
      <w:pPr>
        <w:tabs>
          <w:tab w:pos="708" w:val="left"/>
        </w:tabs>
        <w:spacing w:after="200"/>
        <w:ind w:left="708" w:hanging="708"/>
        <w:jc w:val="both"/>
      </w:pPr>
      <w:r>
        <w:rPr>
          <w:rFonts w:ascii="Avenir Next LT Pro" w:hAnsi="Avenir Next LT Pro"/>
          <w:b w:val="0"/>
          <w:i w:val="0"/>
          <w:color w:val="1C4076"/>
          <w:sz w:val="22"/>
        </w:rPr>
        <w:t>6.1</w:t>
        <w:tab/>
      </w:r>
      <w:r>
        <w:rPr>
          <w:rFonts w:ascii="Avenir Next LT Pro" w:hAnsi="Avenir Next LT Pro"/>
          <w:b w:val="0"/>
          <w:i w:val="0"/>
          <w:color w:val="1C4076"/>
          <w:sz w:val="22"/>
        </w:rPr>
        <w:t>If it is necessary in order for the Company to comply with its duty of disclosure as soon as possible, the members of the Executive Management may publish a company announcement without having coordinated it with the Disclosure Committee, the Chair of the Board of Directors and/or the Board of Directors, as applicable. In that case, members of the Executive Management, as the case may be, must immediately inform the Chair of the Board of Directors and the Disclosure Committee thereof.</w:t>
      </w:r>
    </w:p>
    <w:p>
      <w:pPr>
        <w:keepNext/>
        <w:tabs>
          <w:tab w:pos="708" w:val="left"/>
        </w:tabs>
        <w:spacing w:before="260" w:after="160"/>
        <w:ind w:left="708" w:hanging="708"/>
      </w:pPr>
      <w:r>
        <w:rPr>
          <w:rFonts w:ascii="Avenir Next LT Pro" w:hAnsi="Avenir Next LT Pro"/>
          <w:b/>
          <w:i w:val="0"/>
          <w:color w:val="1C4076"/>
          <w:sz w:val="28"/>
        </w:rPr>
        <w:t>7</w:t>
        <w:tab/>
        <w:t>Disclosure, form and content of announcements</w:t>
      </w:r>
    </w:p>
    <w:p>
      <w:pPr>
        <w:tabs>
          <w:tab w:pos="708" w:val="left"/>
        </w:tabs>
        <w:spacing w:after="200"/>
        <w:ind w:left="708" w:hanging="708"/>
        <w:jc w:val="both"/>
      </w:pPr>
      <w:r>
        <w:rPr>
          <w:rFonts w:ascii="Avenir Next LT Pro" w:hAnsi="Avenir Next LT Pro"/>
          <w:b w:val="0"/>
          <w:i w:val="0"/>
          <w:color w:val="1C4076"/>
          <w:sz w:val="22"/>
        </w:rPr>
        <w:t>7.1</w:t>
        <w:tab/>
      </w:r>
      <w:r>
        <w:rPr>
          <w:rFonts w:ascii="Avenir Next LT Pro" w:hAnsi="Avenir Next LT Pro"/>
          <w:b w:val="0"/>
          <w:i w:val="0"/>
          <w:color w:val="1C4076"/>
          <w:sz w:val="22"/>
        </w:rPr>
        <w:t>Disclosure to the public of Inside Information shall take place by issuing a company announcement through the Company’s chosen news distribution service.</w:t>
      </w:r>
    </w:p>
    <w:p>
      <w:pPr>
        <w:tabs>
          <w:tab w:pos="708" w:val="left"/>
        </w:tabs>
        <w:spacing w:after="200"/>
        <w:ind w:left="708" w:hanging="708"/>
        <w:jc w:val="both"/>
      </w:pPr>
      <w:r>
        <w:rPr>
          <w:rFonts w:ascii="Avenir Next LT Pro" w:hAnsi="Avenir Next LT Pro"/>
          <w:b w:val="0"/>
          <w:i w:val="0"/>
          <w:color w:val="1C4076"/>
          <w:sz w:val="22"/>
        </w:rPr>
        <w:t>7.2</w:t>
        <w:tab/>
      </w:r>
      <w:r>
        <w:rPr>
          <w:rFonts w:ascii="Avenir Next LT Pro" w:hAnsi="Avenir Next LT Pro"/>
          <w:b w:val="0"/>
          <w:i w:val="0"/>
          <w:color w:val="1C4076"/>
          <w:sz w:val="22"/>
        </w:rPr>
        <w:t>As a general rule, the company announcement will be submitted to Nasdaq Copenhagen and the Danish Financial Supervisory Authority (where required) via the Company’s chosen news distribution service. In certain instances, it may be necessary to submit company announcements separately to both the Danish Financial Supervisory Authority and the Company’s chosen news distribution service. This may be the case if a particular company announcement is required to be published pursuant to one of the specific disclosure obligations as set out in Schedule 8.1 but is also deemed to contain Inside Information.</w:t>
      </w:r>
    </w:p>
    <w:p>
      <w:pPr>
        <w:tabs>
          <w:tab w:pos="708" w:val="left"/>
        </w:tabs>
        <w:spacing w:after="200"/>
        <w:ind w:left="708" w:hanging="708"/>
        <w:jc w:val="both"/>
      </w:pPr>
      <w:r>
        <w:rPr>
          <w:rFonts w:ascii="Avenir Next LT Pro" w:hAnsi="Avenir Next LT Pro"/>
          <w:b w:val="0"/>
          <w:i w:val="0"/>
          <w:color w:val="1C4076"/>
          <w:sz w:val="22"/>
        </w:rPr>
        <w:t>7.3</w:t>
        <w:tab/>
      </w:r>
      <w:r>
        <w:rPr>
          <w:rFonts w:ascii="Avenir Next LT Pro" w:hAnsi="Avenir Next LT Pro"/>
          <w:b w:val="0"/>
          <w:i w:val="0"/>
          <w:color w:val="1C4076"/>
          <w:sz w:val="22"/>
        </w:rPr>
        <w:t>Simultaneously with the publication via the Company’s chosen news distribution service, all company announcements must be made available on the Company’s website. All company announcements must remain on the Company’s website for a minimum of five years. However, financial reports shall be made available for a minimum of ten years from the date of disclosure.</w:t>
      </w:r>
    </w:p>
    <w:p>
      <w:pPr>
        <w:tabs>
          <w:tab w:pos="708" w:val="left"/>
        </w:tabs>
        <w:spacing w:after="200"/>
        <w:ind w:left="708" w:hanging="708"/>
        <w:jc w:val="both"/>
      </w:pPr>
      <w:r>
        <w:rPr>
          <w:rFonts w:ascii="Avenir Next LT Pro" w:hAnsi="Avenir Next LT Pro"/>
          <w:b w:val="0"/>
          <w:i w:val="0"/>
          <w:color w:val="1C4076"/>
          <w:sz w:val="22"/>
        </w:rPr>
        <w:t>7.4</w:t>
        <w:tab/>
      </w:r>
      <w:r>
        <w:rPr>
          <w:rFonts w:ascii="Avenir Next LT Pro" w:hAnsi="Avenir Next LT Pro"/>
          <w:b w:val="0"/>
          <w:i w:val="0"/>
          <w:color w:val="1C4076"/>
          <w:sz w:val="22"/>
        </w:rPr>
        <w:t>Disclosure must not be combined with the Company or the Group’s marketing activities.</w:t>
      </w:r>
    </w:p>
    <w:p>
      <w:pPr>
        <w:tabs>
          <w:tab w:pos="708" w:val="left"/>
        </w:tabs>
        <w:spacing w:after="200"/>
        <w:ind w:left="708" w:hanging="708"/>
        <w:jc w:val="both"/>
      </w:pPr>
      <w:r>
        <w:rPr>
          <w:rFonts w:ascii="Avenir Next LT Pro" w:hAnsi="Avenir Next LT Pro"/>
          <w:b w:val="0"/>
          <w:i w:val="0"/>
          <w:color w:val="1C4076"/>
          <w:sz w:val="22"/>
        </w:rPr>
        <w:t>7.5</w:t>
        <w:tab/>
      </w:r>
      <w:r>
        <w:rPr>
          <w:rFonts w:ascii="Avenir Next LT Pro" w:hAnsi="Avenir Next LT Pro"/>
          <w:b w:val="0"/>
          <w:i w:val="0"/>
          <w:color w:val="1C4076"/>
          <w:sz w:val="22"/>
        </w:rPr>
        <w:t>All company announcements shall be prepared on the following basis:</w:t>
      </w:r>
    </w:p>
    <w:p>
      <w:pPr>
        <w:tabs>
          <w:tab w:pos="1416" w:val="left"/>
        </w:tabs>
        <w:spacing w:after="80"/>
        <w:ind w:left="1416" w:hanging="708"/>
      </w:pPr>
      <w:r>
        <w:rPr>
          <w:rFonts w:ascii="Avenir Next LT Pro" w:hAnsi="Avenir Next LT Pro"/>
          <w:b w:val="0"/>
          <w:i w:val="0"/>
          <w:color w:val="1C4076"/>
          <w:sz w:val="22"/>
        </w:rPr>
        <w:t>(a)</w:t>
        <w:tab/>
        <w:t>Each announcement shall have a heading indicating the substance of the announcement;</w:t>
      </w:r>
    </w:p>
    <w:p>
      <w:pPr>
        <w:tabs>
          <w:tab w:pos="1416" w:val="left"/>
        </w:tabs>
        <w:spacing w:after="80"/>
        <w:ind w:left="1416" w:hanging="708"/>
      </w:pPr>
      <w:r>
        <w:rPr>
          <w:rFonts w:ascii="Avenir Next LT Pro" w:hAnsi="Avenir Next LT Pro"/>
          <w:b w:val="0"/>
          <w:i w:val="0"/>
          <w:color w:val="1C4076"/>
          <w:sz w:val="22"/>
        </w:rPr>
        <w:t>(b)</w:t>
        <w:tab/>
        <w:t>the most important information in the announcement shall be clearly presented at the beginning of the announcements;</w:t>
      </w:r>
    </w:p>
    <w:p>
      <w:pPr>
        <w:tabs>
          <w:tab w:pos="1416" w:val="left"/>
        </w:tabs>
        <w:spacing w:after="80"/>
        <w:ind w:left="1416" w:hanging="708"/>
      </w:pPr>
      <w:r>
        <w:rPr>
          <w:rFonts w:ascii="Avenir Next LT Pro" w:hAnsi="Avenir Next LT Pro"/>
          <w:b w:val="0"/>
          <w:i w:val="0"/>
          <w:color w:val="1C4076"/>
          <w:sz w:val="22"/>
        </w:rPr>
        <w:t>(c)</w:t>
        <w:tab/>
        <w:t>the announcement shall contain information on the time and date of disclosure, the Company’s name and website, a contact person from the Company and such contact person’s phone number and shall be numbered consecutively;</w:t>
      </w:r>
    </w:p>
    <w:p>
      <w:pPr>
        <w:tabs>
          <w:tab w:pos="1416" w:val="left"/>
        </w:tabs>
        <w:spacing w:after="80"/>
        <w:ind w:left="1416" w:hanging="708"/>
      </w:pPr>
      <w:r>
        <w:rPr>
          <w:rFonts w:ascii="Avenir Next LT Pro" w:hAnsi="Avenir Next LT Pro"/>
          <w:b w:val="0"/>
          <w:i w:val="0"/>
          <w:color w:val="1C4076"/>
          <w:sz w:val="22"/>
        </w:rPr>
        <w:t>(d)</w:t>
        <w:tab/>
        <w:t>the announcement shall be correct, relevant and clear; and</w:t>
      </w:r>
    </w:p>
    <w:p>
      <w:pPr>
        <w:tabs>
          <w:tab w:pos="1416" w:val="left"/>
        </w:tabs>
        <w:spacing w:after="80"/>
        <w:ind w:left="1416" w:hanging="708"/>
      </w:pPr>
      <w:r>
        <w:rPr>
          <w:rFonts w:ascii="Avenir Next LT Pro" w:hAnsi="Avenir Next LT Pro"/>
          <w:b w:val="0"/>
          <w:i w:val="0"/>
          <w:color w:val="1C4076"/>
          <w:sz w:val="22"/>
        </w:rPr>
        <w:t>(e)</w:t>
        <w:tab/>
        <w:t>the announcement shall provide sufficient guidance to enable an evaluation of the information and its effect on the price of the Company’s Financial Instruments.</w:t>
      </w:r>
    </w:p>
    <w:p>
      <w:pPr>
        <w:keepNext/>
        <w:tabs>
          <w:tab w:pos="708" w:val="left"/>
        </w:tabs>
        <w:spacing w:before="260" w:after="160"/>
        <w:ind w:left="708" w:hanging="708"/>
      </w:pPr>
      <w:r>
        <w:rPr>
          <w:rFonts w:ascii="Avenir Next LT Pro" w:hAnsi="Avenir Next LT Pro"/>
          <w:b/>
          <w:i w:val="0"/>
          <w:color w:val="1C4076"/>
          <w:sz w:val="28"/>
        </w:rPr>
        <w:t>8</w:t>
        <w:tab/>
        <w:t>Specific disclosure obligations</w:t>
      </w:r>
    </w:p>
    <w:p>
      <w:pPr>
        <w:tabs>
          <w:tab w:pos="708" w:val="left"/>
        </w:tabs>
        <w:spacing w:after="200"/>
        <w:ind w:left="708" w:hanging="708"/>
        <w:jc w:val="both"/>
      </w:pPr>
      <w:r>
        <w:rPr>
          <w:rFonts w:ascii="Avenir Next LT Pro" w:hAnsi="Avenir Next LT Pro"/>
          <w:b w:val="0"/>
          <w:i w:val="0"/>
          <w:color w:val="1C4076"/>
          <w:sz w:val="22"/>
        </w:rPr>
        <w:t>8.1</w:t>
        <w:tab/>
      </w:r>
      <w:r>
        <w:rPr>
          <w:rFonts w:ascii="Avenir Next LT Pro" w:hAnsi="Avenir Next LT Pro"/>
          <w:b w:val="0"/>
          <w:i w:val="0"/>
          <w:color w:val="1C4076"/>
          <w:sz w:val="22"/>
        </w:rPr>
        <w:t>The Company is subject to certain specific disclosure obligations pursuant to the Rules for Issuers, which require the Company to publish information, regardless of whether such information is deemed Inside Information or not. These disclosure obligations are further set out in Schedule 8.1 – Specific disclosure obligations.</w:t>
      </w:r>
    </w:p>
    <w:p>
      <w:pPr>
        <w:keepNext/>
        <w:tabs>
          <w:tab w:pos="708" w:val="left"/>
        </w:tabs>
        <w:spacing w:before="260" w:after="160"/>
        <w:ind w:left="708" w:hanging="708"/>
      </w:pPr>
      <w:r>
        <w:rPr>
          <w:rFonts w:ascii="Avenir Next LT Pro" w:hAnsi="Avenir Next LT Pro"/>
          <w:b/>
          <w:i w:val="0"/>
          <w:color w:val="1C4076"/>
          <w:sz w:val="28"/>
        </w:rPr>
        <w:t>9</w:t>
        <w:tab/>
        <w:t>Subsequent control and handling of errors</w:t>
      </w:r>
    </w:p>
    <w:p>
      <w:pPr>
        <w:tabs>
          <w:tab w:pos="708" w:val="left"/>
        </w:tabs>
        <w:spacing w:after="200"/>
        <w:ind w:left="708" w:hanging="708"/>
        <w:jc w:val="both"/>
      </w:pPr>
      <w:r>
        <w:rPr>
          <w:rFonts w:ascii="Avenir Next LT Pro" w:hAnsi="Avenir Next LT Pro"/>
          <w:b w:val="0"/>
          <w:i w:val="0"/>
          <w:color w:val="1C4076"/>
          <w:sz w:val="22"/>
        </w:rPr>
        <w:t>9.1</w:t>
        <w:tab/>
      </w:r>
      <w:r>
        <w:rPr>
          <w:rFonts w:ascii="Avenir Next LT Pro" w:hAnsi="Avenir Next LT Pro"/>
          <w:b w:val="0"/>
          <w:i w:val="0"/>
          <w:color w:val="1C4076"/>
          <w:sz w:val="22"/>
        </w:rPr>
        <w:t>The person at the Company responsible for disclosing the Inside Information through the Company’s chosen news distribution service must, immediately following release, control that the Inside Information has been disclosed in accordance with sections 7 and 8 above, including that the relevant material is available through Nasdaq Copenhagen and the Danish Financial Supervisory Authority, if relevant, and on the Company’s website.</w:t>
      </w:r>
    </w:p>
    <w:p>
      <w:pPr>
        <w:tabs>
          <w:tab w:pos="708" w:val="left"/>
        </w:tabs>
        <w:spacing w:after="200"/>
        <w:ind w:left="708" w:hanging="708"/>
        <w:jc w:val="both"/>
      </w:pPr>
      <w:r>
        <w:rPr>
          <w:rFonts w:ascii="Avenir Next LT Pro" w:hAnsi="Avenir Next LT Pro"/>
          <w:b w:val="0"/>
          <w:i w:val="0"/>
          <w:color w:val="1C4076"/>
          <w:sz w:val="22"/>
        </w:rPr>
        <w:t>9.2</w:t>
        <w:tab/>
      </w:r>
      <w:r>
        <w:rPr>
          <w:rFonts w:ascii="Avenir Next LT Pro" w:hAnsi="Avenir Next LT Pro"/>
          <w:b w:val="0"/>
          <w:i w:val="0"/>
          <w:color w:val="1C4076"/>
          <w:sz w:val="22"/>
        </w:rPr>
        <w:t>Where Inside Information has not been disclosed correctly in accordance with sections 7 and 8 above due to a technical error, the Company shall immediately reach out to the Company’s chosen news distribution service to find a solution to the problem in question.</w:t>
      </w:r>
    </w:p>
    <w:p>
      <w:pPr>
        <w:tabs>
          <w:tab w:pos="708" w:val="left"/>
        </w:tabs>
        <w:spacing w:after="200"/>
        <w:ind w:left="708" w:hanging="708"/>
        <w:jc w:val="both"/>
      </w:pPr>
      <w:r>
        <w:rPr>
          <w:rFonts w:ascii="Avenir Next LT Pro" w:hAnsi="Avenir Next LT Pro"/>
          <w:b w:val="0"/>
          <w:i w:val="0"/>
          <w:color w:val="1C4076"/>
          <w:sz w:val="22"/>
        </w:rPr>
        <w:t>9.3</w:t>
        <w:tab/>
      </w:r>
      <w:r>
        <w:rPr>
          <w:rFonts w:ascii="Avenir Next LT Pro" w:hAnsi="Avenir Next LT Pro"/>
          <w:b w:val="0"/>
          <w:i w:val="0"/>
          <w:color w:val="1C4076"/>
          <w:sz w:val="22"/>
        </w:rPr>
        <w:t>Nasdaq Copenhagen’s surveillance function may be contacted and consulted in situations regarding technical errors if the Company and the Company’s chosen news distribution service are not able to find a timely acceptable solution to the problem in question.</w:t>
      </w:r>
    </w:p>
    <w:p>
      <w:pPr>
        <w:keepNext/>
        <w:tabs>
          <w:tab w:pos="708" w:val="left"/>
        </w:tabs>
        <w:spacing w:before="260" w:after="160"/>
        <w:ind w:left="708" w:hanging="708"/>
      </w:pPr>
      <w:r>
        <w:rPr>
          <w:rFonts w:ascii="Avenir Next LT Pro" w:hAnsi="Avenir Next LT Pro"/>
          <w:b/>
          <w:i w:val="0"/>
          <w:color w:val="1C4076"/>
          <w:sz w:val="28"/>
        </w:rPr>
        <w:t>10</w:t>
        <w:tab/>
        <w:t>The Company’s spokespersons</w:t>
      </w:r>
    </w:p>
    <w:p>
      <w:pPr>
        <w:tabs>
          <w:tab w:pos="708" w:val="left"/>
        </w:tabs>
        <w:spacing w:after="200"/>
        <w:ind w:left="708" w:hanging="708"/>
        <w:jc w:val="both"/>
      </w:pPr>
      <w:r>
        <w:rPr>
          <w:rFonts w:ascii="Avenir Next LT Pro" w:hAnsi="Avenir Next LT Pro"/>
          <w:b w:val="0"/>
          <w:i w:val="0"/>
          <w:color w:val="1C4076"/>
          <w:sz w:val="22"/>
        </w:rPr>
        <w:t>10.1</w:t>
        <w:tab/>
      </w:r>
      <w:r>
        <w:rPr>
          <w:rFonts w:ascii="Avenir Next LT Pro" w:hAnsi="Avenir Next LT Pro"/>
          <w:b w:val="0"/>
          <w:i w:val="0"/>
          <w:color w:val="1C4076"/>
          <w:sz w:val="22"/>
        </w:rPr>
        <w:t>Only the Chair of the Board of Directors and the CEO are entitled to make statements regarding the Company and the Group in respect of matters which constitute Inside Information. The CEO may delegate such authority to other members of the Executive Management.</w:t>
      </w:r>
    </w:p>
    <w:p>
      <w:pPr>
        <w:tabs>
          <w:tab w:pos="708" w:val="left"/>
        </w:tabs>
        <w:spacing w:after="200"/>
        <w:ind w:left="708" w:hanging="708"/>
        <w:jc w:val="both"/>
      </w:pPr>
      <w:r>
        <w:rPr>
          <w:rFonts w:ascii="Avenir Next LT Pro" w:hAnsi="Avenir Next LT Pro"/>
          <w:b w:val="0"/>
          <w:i w:val="0"/>
          <w:color w:val="1C4076"/>
          <w:sz w:val="22"/>
        </w:rPr>
        <w:t>10.2</w:t>
        <w:tab/>
      </w:r>
      <w:r>
        <w:rPr>
          <w:rFonts w:ascii="Avenir Next LT Pro" w:hAnsi="Avenir Next LT Pro"/>
          <w:b w:val="0"/>
          <w:i w:val="0"/>
          <w:color w:val="1C4076"/>
          <w:sz w:val="22"/>
        </w:rPr>
        <w:t>In addition, the following persons are in accordance with the Company’s Investor Relations Policy authorised to communicate with the investor community on behalf of the Company:</w:t>
      </w:r>
    </w:p>
    <w:p>
      <w:pPr>
        <w:pStyle w:val="ListBullet"/>
        <w:spacing w:after="80"/>
      </w:pPr>
      <w:r>
        <w:rPr>
          <w:rFonts w:ascii="Avenir Next LT Pro" w:hAnsi="Avenir Next LT Pro"/>
          <w:b w:val="0"/>
          <w:i w:val="0"/>
          <w:color w:val="1C4076"/>
          <w:sz w:val="22"/>
        </w:rPr>
        <w:t>The Chair of the Board of Directors</w:t>
      </w:r>
    </w:p>
    <w:p>
      <w:pPr>
        <w:pStyle w:val="ListBullet"/>
        <w:spacing w:after="80"/>
      </w:pPr>
      <w:r>
        <w:rPr>
          <w:rFonts w:ascii="Avenir Next LT Pro" w:hAnsi="Avenir Next LT Pro"/>
          <w:b w:val="0"/>
          <w:i w:val="0"/>
          <w:color w:val="1C4076"/>
          <w:sz w:val="22"/>
        </w:rPr>
        <w:t>The Executive Management</w:t>
      </w:r>
    </w:p>
    <w:p>
      <w:pPr>
        <w:pStyle w:val="ListBullet"/>
        <w:spacing w:after="80"/>
      </w:pPr>
      <w:r>
        <w:rPr>
          <w:rFonts w:ascii="Avenir Next LT Pro" w:hAnsi="Avenir Next LT Pro"/>
          <w:b w:val="0"/>
          <w:i w:val="0"/>
          <w:color w:val="1C4076"/>
          <w:sz w:val="22"/>
        </w:rPr>
        <w:t>The VP, People, Purpose &amp; Communication</w:t>
      </w:r>
    </w:p>
    <w:p>
      <w:pPr>
        <w:pStyle w:val="ListBullet"/>
        <w:spacing w:after="80"/>
      </w:pPr>
      <w:r>
        <w:rPr>
          <w:rFonts w:ascii="Avenir Next LT Pro" w:hAnsi="Avenir Next LT Pro"/>
          <w:b w:val="0"/>
          <w:i w:val="0"/>
          <w:color w:val="1C4076"/>
          <w:sz w:val="22"/>
        </w:rPr>
        <w:t>The VP Strategy, Business Development &amp; M&amp;A</w:t>
      </w:r>
    </w:p>
    <w:p>
      <w:pPr>
        <w:pStyle w:val="ListBullet"/>
        <w:spacing w:after="80"/>
      </w:pPr>
      <w:r>
        <w:rPr>
          <w:rFonts w:ascii="Avenir Next LT Pro" w:hAnsi="Avenir Next LT Pro"/>
          <w:b w:val="0"/>
          <w:i w:val="0"/>
          <w:color w:val="1C4076"/>
          <w:sz w:val="22"/>
        </w:rPr>
        <w:t>Such other persons as are instructed and authorised to communicate with the investment community by one of the abovementioned persons on specific matters.</w:t>
      </w:r>
    </w:p>
    <w:p>
      <w:pPr>
        <w:spacing w:after="200"/>
        <w:jc w:val="center"/>
      </w:pPr>
      <w:r>
        <w:rPr>
          <w:rFonts w:ascii="Avenir Next LT Pro" w:hAnsi="Avenir Next LT Pro"/>
          <w:b w:val="0"/>
          <w:i w:val="0"/>
          <w:color w:val="1C4076"/>
          <w:sz w:val="22"/>
        </w:rPr>
        <w:t>Approved by the Board of Directors on 19 May 2026.</w:t>
      </w:r>
    </w:p>
    <w:p>
      <w:pPr>
        <w:keepNext/>
        <w:spacing w:before="260" w:after="160"/>
      </w:pPr>
      <w:r>
        <w:rPr>
          <w:rFonts w:ascii="Avenir Next LT Pro" w:hAnsi="Avenir Next LT Pro"/>
          <w:b/>
          <w:i w:val="0"/>
          <w:color w:val="1C4076"/>
          <w:sz w:val="28"/>
        </w:rPr>
        <w:t>Schedule 8.1 – Specific disclosure obligations</w:t>
      </w:r>
    </w:p>
    <w:p>
      <w:pPr>
        <w:spacing w:after="200"/>
        <w:ind w:left="708" w:firstLine="0"/>
        <w:jc w:val="both"/>
      </w:pPr>
      <w:r>
        <w:rPr>
          <w:rFonts w:ascii="Avenir Next LT Pro" w:hAnsi="Avenir Next LT Pro"/>
          <w:b w:val="0"/>
          <w:i w:val="0"/>
          <w:color w:val="1C4076"/>
          <w:sz w:val="22"/>
        </w:rPr>
        <w:t>The Company shall disclose the following information irrespective of whether such information is deemed Inside Information or not. The following list of specific disclosure obligations is non-exhaustive and reference is also made to the Rules for Issuers containing detailed rules on the specific disclosure obligations, which should be checked on an ongoing basis.</w:t>
      </w:r>
    </w:p>
    <w:p>
      <w:pPr>
        <w:keepNext/>
        <w:tabs>
          <w:tab w:pos="708" w:val="left"/>
        </w:tabs>
        <w:spacing w:before="260" w:after="160"/>
        <w:ind w:left="708" w:hanging="708"/>
      </w:pPr>
      <w:r>
        <w:rPr>
          <w:rFonts w:ascii="Avenir Next LT Pro" w:hAnsi="Avenir Next LT Pro"/>
          <w:b/>
          <w:i w:val="0"/>
          <w:color w:val="1C4076"/>
          <w:sz w:val="28"/>
        </w:rPr>
        <w:t>1</w:t>
        <w:tab/>
        <w:t>Annual reports</w:t>
      </w:r>
    </w:p>
    <w:p>
      <w:pPr>
        <w:spacing w:after="200"/>
        <w:ind w:left="708" w:firstLine="0"/>
        <w:jc w:val="both"/>
      </w:pPr>
      <w:r>
        <w:rPr>
          <w:rFonts w:ascii="Avenir Next LT Pro" w:hAnsi="Avenir Next LT Pro"/>
          <w:b w:val="0"/>
          <w:i w:val="0"/>
          <w:color w:val="1C4076"/>
          <w:sz w:val="22"/>
        </w:rPr>
        <w:t>The Company shall publish the audited annual report as soon as possible after it has been finalised and no later than four months after the end of the preceding financial year and no later than three weeks before the annual general meeting.</w:t>
      </w:r>
    </w:p>
    <w:p>
      <w:pPr>
        <w:spacing w:after="200"/>
        <w:ind w:left="708" w:firstLine="0"/>
        <w:jc w:val="both"/>
      </w:pPr>
      <w:r>
        <w:rPr>
          <w:rFonts w:ascii="Avenir Next LT Pro" w:hAnsi="Avenir Next LT Pro"/>
          <w:b w:val="0"/>
          <w:i w:val="0"/>
          <w:color w:val="1C4076"/>
          <w:sz w:val="22"/>
        </w:rPr>
        <w:t>In the event that the audit report includes a statement which is not in standard format or if the audit report has been modified, the Company must publish the audit report as soon as possible. An audit report is considered to be modified or not in standard format when the auditor adds an emphasis of matter paragraph or is not able to express an unqualified opinion with no modification.</w:t>
      </w:r>
    </w:p>
    <w:p>
      <w:pPr>
        <w:spacing w:after="200"/>
        <w:ind w:left="708" w:firstLine="0"/>
        <w:jc w:val="both"/>
      </w:pPr>
      <w:r>
        <w:rPr>
          <w:rFonts w:ascii="Avenir Next LT Pro" w:hAnsi="Avenir Next LT Pro"/>
          <w:b w:val="0"/>
          <w:i w:val="0"/>
          <w:color w:val="1C4076"/>
          <w:sz w:val="22"/>
        </w:rPr>
        <w:t>Following approval of the annual report by the shareholders at the annual general meeting, the annual report shall be submitted to the Danish Business Authority.</w:t>
      </w:r>
    </w:p>
    <w:p>
      <w:pPr>
        <w:spacing w:after="200"/>
        <w:ind w:left="708" w:firstLine="0"/>
        <w:jc w:val="both"/>
      </w:pPr>
      <w:r>
        <w:rPr>
          <w:rFonts w:ascii="Avenir Next LT Pro" w:hAnsi="Avenir Next LT Pro"/>
          <w:b w:val="0"/>
          <w:i w:val="0"/>
          <w:color w:val="1C4076"/>
          <w:sz w:val="22"/>
        </w:rPr>
        <w:t>If any part of the annual report will be deemed to constitute Inside Information, disclosure of such Inside Information must comply with the Company’s general disclosure obligation as described in section 3 “Disclosure of Inside Information (general disclosure obligation)” above. If the annual report contains Inside Information (i.e. if such information has not been disclosed separately prior to disclosure of the annual report), the annual report must be disclosed in two steps, firstly by publishing a company announcement that describes the Inside Information contained in the annual report separately and apply the category for inside information on such company announcement and subsequently by publishing a company announcement containing the annual report and apply the category for annual reports on such company announcement.</w:t>
      </w:r>
    </w:p>
    <w:p>
      <w:pPr>
        <w:keepNext/>
        <w:tabs>
          <w:tab w:pos="708" w:val="left"/>
        </w:tabs>
        <w:spacing w:before="260" w:after="160"/>
        <w:ind w:left="708" w:hanging="708"/>
      </w:pPr>
      <w:r>
        <w:rPr>
          <w:rFonts w:ascii="Avenir Next LT Pro" w:hAnsi="Avenir Next LT Pro"/>
          <w:b/>
          <w:i w:val="0"/>
          <w:color w:val="1C4076"/>
          <w:sz w:val="28"/>
        </w:rPr>
        <w:t>2</w:t>
        <w:tab/>
        <w:t>Interim reports</w:t>
      </w:r>
    </w:p>
    <w:p>
      <w:pPr>
        <w:spacing w:after="200"/>
        <w:ind w:left="708" w:firstLine="0"/>
        <w:jc w:val="both"/>
      </w:pPr>
      <w:r>
        <w:rPr>
          <w:rFonts w:ascii="Avenir Next LT Pro" w:hAnsi="Avenir Next LT Pro"/>
          <w:b w:val="0"/>
          <w:i w:val="0"/>
          <w:color w:val="1C4076"/>
          <w:sz w:val="22"/>
        </w:rPr>
        <w:t>The Company shall publish an interim report for the first six months of each financial year.</w:t>
      </w:r>
    </w:p>
    <w:p>
      <w:pPr>
        <w:spacing w:after="200"/>
        <w:ind w:left="708" w:firstLine="0"/>
        <w:jc w:val="both"/>
      </w:pPr>
      <w:r>
        <w:rPr>
          <w:rFonts w:ascii="Avenir Next LT Pro" w:hAnsi="Avenir Next LT Pro"/>
          <w:b w:val="0"/>
          <w:i w:val="0"/>
          <w:color w:val="1C4076"/>
          <w:sz w:val="22"/>
        </w:rPr>
        <w:t>The Company shall state whether the interim report has been audited, has been subjected to review, or whether the report is unaudited.</w:t>
      </w:r>
    </w:p>
    <w:p>
      <w:pPr>
        <w:spacing w:after="200"/>
        <w:ind w:left="708" w:firstLine="0"/>
        <w:jc w:val="both"/>
      </w:pPr>
      <w:r>
        <w:rPr>
          <w:rFonts w:ascii="Avenir Next LT Pro" w:hAnsi="Avenir Next LT Pro"/>
          <w:b w:val="0"/>
          <w:i w:val="0"/>
          <w:color w:val="1C4076"/>
          <w:sz w:val="22"/>
        </w:rPr>
        <w:t>The interim report shall be published immediately after the meeting of the Board of Directors at which the relevant interim report is approved, which shall take place no later than three months after the end of the interim period.</w:t>
      </w:r>
    </w:p>
    <w:p>
      <w:pPr>
        <w:spacing w:after="200"/>
        <w:ind w:left="708" w:firstLine="0"/>
        <w:jc w:val="both"/>
      </w:pPr>
      <w:r>
        <w:rPr>
          <w:rFonts w:ascii="Avenir Next LT Pro" w:hAnsi="Avenir Next LT Pro"/>
          <w:b w:val="0"/>
          <w:i w:val="0"/>
          <w:color w:val="1C4076"/>
          <w:sz w:val="22"/>
        </w:rPr>
        <w:t>Following approval and disclosure, the interim report shall be submitted to the Danish Business Authority.</w:t>
      </w:r>
    </w:p>
    <w:p>
      <w:pPr>
        <w:spacing w:after="200"/>
        <w:ind w:left="708" w:firstLine="0"/>
        <w:jc w:val="both"/>
      </w:pPr>
      <w:r>
        <w:rPr>
          <w:rFonts w:ascii="Avenir Next LT Pro" w:hAnsi="Avenir Next LT Pro"/>
          <w:b w:val="0"/>
          <w:i w:val="0"/>
          <w:color w:val="1C4076"/>
          <w:sz w:val="22"/>
        </w:rPr>
        <w:t>If any part of the interim report will be deemed to constitute Inside Information, disclosure of such Inside Information must comply with the Company’s general disclosure obligation as described in Section 3 “Disclosure of Inside Information (general disclosure obligation)” above. If the interim report contains Inside Information (i.e. if such information has not been disclosed separately prior to disclosure of the interim report), the interim report must be disclosed in two steps, firstly by publishing a company announcement that describes the Inside Information contained in the interim report separately and apply the category for inside information on such company announcement and subsequently by publishing a company announcement containing the interim report and applying the category for interim reports on such company announcement.</w:t>
      </w:r>
    </w:p>
    <w:p>
      <w:pPr>
        <w:spacing w:after="200"/>
        <w:ind w:left="708" w:firstLine="0"/>
        <w:jc w:val="both"/>
      </w:pPr>
      <w:r>
        <w:rPr>
          <w:rFonts w:ascii="Avenir Next LT Pro" w:hAnsi="Avenir Next LT Pro"/>
          <w:b w:val="0"/>
          <w:i w:val="0"/>
          <w:color w:val="1C4076"/>
          <w:sz w:val="22"/>
        </w:rPr>
        <w:t>In addition to the interim report for the first six months, the Company has decided to publish interim reports for Q1 and Q3 and the above procedures will apply equally to such additional interim reports.</w:t>
      </w:r>
    </w:p>
    <w:p>
      <w:pPr>
        <w:keepNext/>
        <w:tabs>
          <w:tab w:pos="708" w:val="left"/>
        </w:tabs>
        <w:spacing w:before="260" w:after="160"/>
        <w:ind w:left="708" w:hanging="708"/>
      </w:pPr>
      <w:r>
        <w:rPr>
          <w:rFonts w:ascii="Avenir Next LT Pro" w:hAnsi="Avenir Next LT Pro"/>
          <w:b/>
          <w:i w:val="0"/>
          <w:color w:val="1C4076"/>
          <w:sz w:val="28"/>
        </w:rPr>
        <w:t>3</w:t>
        <w:tab/>
        <w:t>Forecasts and forward-looking statements</w:t>
      </w:r>
    </w:p>
    <w:p>
      <w:pPr>
        <w:spacing w:after="200"/>
        <w:ind w:left="708" w:firstLine="0"/>
        <w:jc w:val="both"/>
      </w:pPr>
      <w:r>
        <w:rPr>
          <w:rFonts w:ascii="Avenir Next LT Pro" w:hAnsi="Avenir Next LT Pro"/>
          <w:b w:val="0"/>
          <w:i w:val="0"/>
          <w:color w:val="1C4076"/>
          <w:sz w:val="22"/>
        </w:rPr>
        <w:t>Forecasts must be presented in a clear and consistent manner.</w:t>
      </w:r>
    </w:p>
    <w:p>
      <w:pPr>
        <w:spacing w:after="200"/>
        <w:ind w:left="708" w:firstLine="0"/>
        <w:jc w:val="both"/>
      </w:pPr>
      <w:r>
        <w:rPr>
          <w:rFonts w:ascii="Avenir Next LT Pro" w:hAnsi="Avenir Next LT Pro"/>
          <w:b w:val="0"/>
          <w:i w:val="0"/>
          <w:color w:val="1C4076"/>
          <w:sz w:val="22"/>
        </w:rPr>
        <w:t>Forecasts and other information relating to the future in interim reports and annual reports should be provided under a separate heading and in a prominent position. In conjunction with forecast adjustments, the information in the announcement shall reiterate the preceding forecast in order to evaluate the significance of the change.</w:t>
      </w:r>
    </w:p>
    <w:p>
      <w:pPr>
        <w:keepNext/>
        <w:tabs>
          <w:tab w:pos="708" w:val="left"/>
        </w:tabs>
        <w:spacing w:before="260" w:after="160"/>
        <w:ind w:left="708" w:hanging="708"/>
      </w:pPr>
      <w:r>
        <w:rPr>
          <w:rFonts w:ascii="Avenir Next LT Pro" w:hAnsi="Avenir Next LT Pro"/>
          <w:b/>
          <w:i w:val="0"/>
          <w:color w:val="1C4076"/>
          <w:sz w:val="28"/>
        </w:rPr>
        <w:t>4</w:t>
        <w:tab/>
        <w:t>General meetings</w:t>
      </w:r>
    </w:p>
    <w:p>
      <w:pPr>
        <w:spacing w:after="200"/>
        <w:ind w:left="708" w:firstLine="0"/>
        <w:jc w:val="both"/>
      </w:pPr>
      <w:r>
        <w:rPr>
          <w:rFonts w:ascii="Avenir Next LT Pro" w:hAnsi="Avenir Next LT Pro"/>
          <w:b w:val="0"/>
          <w:i w:val="0"/>
          <w:color w:val="1C4076"/>
          <w:sz w:val="22"/>
        </w:rPr>
        <w:t>The notice convening general meetings must be published no later than three weeks and no earlier than five weeks before the general meeting.</w:t>
      </w:r>
    </w:p>
    <w:p>
      <w:pPr>
        <w:spacing w:after="200"/>
        <w:ind w:left="708" w:firstLine="0"/>
        <w:jc w:val="both"/>
      </w:pPr>
      <w:r>
        <w:rPr>
          <w:rFonts w:ascii="Avenir Next LT Pro" w:hAnsi="Avenir Next LT Pro"/>
          <w:b w:val="0"/>
          <w:i w:val="0"/>
          <w:color w:val="1C4076"/>
          <w:sz w:val="22"/>
        </w:rPr>
        <w:t>A proposal from the Board of Directors to a general meeting, which is deemed Inside Information, should be disclosed as soon as possible. This means that such proposal must be disclosed as soon as possible regardless of whether the content of the proposal will later be part of a notice to convene.</w:t>
      </w:r>
    </w:p>
    <w:p>
      <w:pPr>
        <w:spacing w:after="200"/>
        <w:ind w:left="708" w:firstLine="0"/>
        <w:jc w:val="both"/>
      </w:pPr>
      <w:r>
        <w:rPr>
          <w:rFonts w:ascii="Avenir Next LT Pro" w:hAnsi="Avenir Next LT Pro"/>
          <w:b w:val="0"/>
          <w:i w:val="0"/>
          <w:color w:val="1C4076"/>
          <w:sz w:val="22"/>
        </w:rPr>
        <w:t>Immediately after a general meeting, an announcement on the business transacted and the resolutions passed must be published.</w:t>
      </w:r>
    </w:p>
    <w:p>
      <w:pPr>
        <w:spacing w:after="200"/>
        <w:ind w:left="708" w:firstLine="0"/>
        <w:jc w:val="both"/>
      </w:pPr>
      <w:r>
        <w:rPr>
          <w:rFonts w:ascii="Avenir Next LT Pro" w:hAnsi="Avenir Next LT Pro"/>
          <w:b w:val="0"/>
          <w:i w:val="0"/>
          <w:color w:val="1C4076"/>
          <w:sz w:val="22"/>
        </w:rPr>
        <w:t>If the Company has delayed disclosure of Inside Information which will be presented at the general meeting, the Company shall contact Nasdaq Copenhagen and/or the Danish Financial Supervisory Authority prior to the general meeting to discuss how disclosure should take place. Such information shall typically be disclosed no later than simultaneously with the commencement of the general meeting. Disclosure of such Inside Information must comply with the Company’s general disclosure obligation as described in section 3 “Disclosure of Inside Information (general disclosure obligation)” above.</w:t>
      </w:r>
    </w:p>
    <w:p>
      <w:pPr>
        <w:spacing w:after="200"/>
        <w:ind w:left="708" w:firstLine="0"/>
        <w:jc w:val="both"/>
      </w:pPr>
      <w:r>
        <w:rPr>
          <w:rFonts w:ascii="Avenir Next LT Pro" w:hAnsi="Avenir Next LT Pro"/>
          <w:b w:val="0"/>
          <w:i w:val="0"/>
          <w:color w:val="1C4076"/>
          <w:sz w:val="22"/>
        </w:rPr>
        <w:t>If Inside Information arises during the general meeting, the general meeting shall be halted, and the Inside Information shall be disclosed no later than the Inside Information is available at the general meeting.</w:t>
      </w:r>
    </w:p>
    <w:p>
      <w:pPr>
        <w:spacing w:after="200"/>
        <w:ind w:left="708" w:firstLine="0"/>
        <w:jc w:val="both"/>
      </w:pPr>
      <w:r>
        <w:rPr>
          <w:rFonts w:ascii="Avenir Next LT Pro" w:hAnsi="Avenir Next LT Pro"/>
          <w:b w:val="0"/>
          <w:i w:val="0"/>
          <w:color w:val="1C4076"/>
          <w:sz w:val="22"/>
        </w:rPr>
        <w:t>If the general meeting authorises the Board of Directors to decide on a specific issue at a later time, such later decision made by the Board of Directors must be published.</w:t>
      </w:r>
    </w:p>
    <w:p>
      <w:pPr>
        <w:keepNext/>
        <w:tabs>
          <w:tab w:pos="708" w:val="left"/>
        </w:tabs>
        <w:spacing w:before="260" w:after="160"/>
        <w:ind w:left="708" w:hanging="708"/>
      </w:pPr>
      <w:r>
        <w:rPr>
          <w:rFonts w:ascii="Avenir Next LT Pro" w:hAnsi="Avenir Next LT Pro"/>
          <w:b/>
          <w:i w:val="0"/>
          <w:color w:val="1C4076"/>
          <w:sz w:val="28"/>
        </w:rPr>
        <w:t>5</w:t>
        <w:tab/>
        <w:t>Financial calendar</w:t>
      </w:r>
    </w:p>
    <w:p>
      <w:pPr>
        <w:spacing w:after="200"/>
        <w:ind w:left="708" w:firstLine="0"/>
        <w:jc w:val="both"/>
      </w:pPr>
      <w:r>
        <w:rPr>
          <w:rFonts w:ascii="Avenir Next LT Pro" w:hAnsi="Avenir Next LT Pro"/>
          <w:b w:val="0"/>
          <w:i w:val="0"/>
          <w:color w:val="1C4076"/>
          <w:sz w:val="22"/>
        </w:rPr>
        <w:t>The Company shall prior to the beginning of each financial year publish on its website a financial calendar for the coming year listing the dates on which the Company expects to disclose interim reports and the annual report as well as the expected date of the annual general meeting, and, if applicable, the date for payment of dividends. If possible, the Company should specify the time of the day at which disclosure will be made. If changes are made to a pre-announced date, the Company shall publish an updated financial calendar as soon as possible. If such a change is made within two weeks of a preannounced date or of the new date, the Company shall disclose the new date in an announcement, including the reasons for the changed date, if possible.</w:t>
      </w:r>
    </w:p>
    <w:p>
      <w:pPr>
        <w:spacing w:after="200"/>
        <w:ind w:left="708" w:firstLine="0"/>
        <w:jc w:val="both"/>
      </w:pPr>
      <w:r>
        <w:rPr>
          <w:rFonts w:ascii="Avenir Next LT Pro" w:hAnsi="Avenir Next LT Pro"/>
          <w:b w:val="0"/>
          <w:i w:val="0"/>
          <w:color w:val="1C4076"/>
          <w:sz w:val="22"/>
        </w:rPr>
        <w:t>An announcement of financial statements may be published prior to the date already announced by the Company. For example, if it turns out that the preparation of the announcement of financial statements progresses more quickly than expected.</w:t>
      </w:r>
    </w:p>
    <w:p>
      <w:pPr>
        <w:keepNext/>
        <w:tabs>
          <w:tab w:pos="708" w:val="left"/>
        </w:tabs>
        <w:spacing w:before="260" w:after="160"/>
        <w:ind w:left="708" w:hanging="708"/>
      </w:pPr>
      <w:r>
        <w:rPr>
          <w:rFonts w:ascii="Avenir Next LT Pro" w:hAnsi="Avenir Next LT Pro"/>
          <w:b/>
          <w:i w:val="0"/>
          <w:color w:val="1C4076"/>
          <w:sz w:val="28"/>
        </w:rPr>
        <w:t>6</w:t>
        <w:tab/>
        <w:t>Changes to Board of Directors, Executive Management, other management and auditors</w:t>
      </w:r>
    </w:p>
    <w:p>
      <w:pPr>
        <w:spacing w:after="200"/>
        <w:ind w:left="708" w:firstLine="0"/>
        <w:jc w:val="both"/>
      </w:pPr>
      <w:r>
        <w:rPr>
          <w:rFonts w:ascii="Avenir Next LT Pro" w:hAnsi="Avenir Next LT Pro"/>
          <w:b w:val="0"/>
          <w:i w:val="0"/>
          <w:color w:val="1C4076"/>
          <w:sz w:val="22"/>
        </w:rPr>
        <w:t>Changes to the Company’s Board of Directors and Executive Management must be published.</w:t>
      </w:r>
    </w:p>
    <w:p>
      <w:pPr>
        <w:spacing w:after="200"/>
        <w:ind w:left="708" w:firstLine="0"/>
        <w:jc w:val="both"/>
      </w:pPr>
      <w:r>
        <w:rPr>
          <w:rFonts w:ascii="Avenir Next LT Pro" w:hAnsi="Avenir Next LT Pro"/>
          <w:b w:val="0"/>
          <w:i w:val="0"/>
          <w:color w:val="1C4076"/>
          <w:sz w:val="22"/>
        </w:rPr>
        <w:t>The Company shall assess whether changes to other management positions may be important and consequently should be disclosed, including key management in significant subsidiaries.</w:t>
      </w:r>
    </w:p>
    <w:p>
      <w:pPr>
        <w:spacing w:after="200"/>
        <w:ind w:left="708" w:firstLine="0"/>
        <w:jc w:val="both"/>
      </w:pPr>
      <w:r>
        <w:rPr>
          <w:rFonts w:ascii="Avenir Next LT Pro" w:hAnsi="Avenir Next LT Pro"/>
          <w:b w:val="0"/>
          <w:i w:val="0"/>
          <w:color w:val="1C4076"/>
          <w:sz w:val="22"/>
        </w:rPr>
        <w:t>Announcements concerning a new member of the Board of Directors, a new member of the Executive Management or another management member must contain relevant information on such member’s experience, including his/her educational background, management positions and/or former occupation.</w:t>
      </w:r>
    </w:p>
    <w:p>
      <w:pPr>
        <w:spacing w:after="200"/>
        <w:ind w:left="708" w:firstLine="0"/>
        <w:jc w:val="both"/>
      </w:pPr>
      <w:r>
        <w:rPr>
          <w:rFonts w:ascii="Avenir Next LT Pro" w:hAnsi="Avenir Next LT Pro"/>
          <w:b w:val="0"/>
          <w:i w:val="0"/>
          <w:color w:val="1C4076"/>
          <w:sz w:val="22"/>
        </w:rPr>
        <w:t>Changes to the Company’s CEO and possibly also the Chair of the Board of Directors may constitute Inside Information and be subject to the Company’s general disclosure obligation. Other proposed or actual changes to the Company’s Board of Directors, Executive Management or other management positions may also be deemed to constitute Inside Information. Disclosure of such Inside Information must comply with the Company’s general disclosure obligation as described in section 3 “Disclosure of Inside Information (general disclosure obligation)” above.</w:t>
      </w:r>
    </w:p>
    <w:p>
      <w:pPr>
        <w:spacing w:after="200"/>
        <w:ind w:left="708" w:firstLine="0"/>
        <w:jc w:val="both"/>
      </w:pPr>
      <w:r>
        <w:rPr>
          <w:rFonts w:ascii="Avenir Next LT Pro" w:hAnsi="Avenir Next LT Pro"/>
          <w:b w:val="0"/>
          <w:i w:val="0"/>
          <w:color w:val="1C4076"/>
          <w:sz w:val="22"/>
        </w:rPr>
        <w:t>Any appointment and retirement of the Company’s auditors must also be disclosed.</w:t>
      </w:r>
    </w:p>
    <w:p>
      <w:pPr>
        <w:keepNext/>
        <w:tabs>
          <w:tab w:pos="708" w:val="left"/>
        </w:tabs>
        <w:spacing w:before="260" w:after="160"/>
        <w:ind w:left="708" w:hanging="708"/>
      </w:pPr>
      <w:r>
        <w:rPr>
          <w:rFonts w:ascii="Avenir Next LT Pro" w:hAnsi="Avenir Next LT Pro"/>
          <w:b/>
          <w:i w:val="0"/>
          <w:color w:val="1C4076"/>
          <w:sz w:val="28"/>
        </w:rPr>
        <w:t>7</w:t>
        <w:tab/>
        <w:t>Liquidity enhancement</w:t>
      </w:r>
    </w:p>
    <w:p>
      <w:pPr>
        <w:spacing w:after="200"/>
        <w:ind w:left="708" w:firstLine="0"/>
        <w:jc w:val="both"/>
      </w:pPr>
      <w:r>
        <w:rPr>
          <w:rFonts w:ascii="Avenir Next LT Pro" w:hAnsi="Avenir Next LT Pro"/>
          <w:b w:val="0"/>
          <w:i w:val="0"/>
          <w:color w:val="1C4076"/>
          <w:sz w:val="22"/>
        </w:rPr>
        <w:t>The Company shall disclose when it has entered into a new agreement on liquidity enhancement. Agreements on liquidity enhancement should be understood as any agreements on liquidity provision as well as any other agreements on liquidity enhancement or liquidity support entered into between the Company and the third party that provides the enhancement or support.</w:t>
      </w:r>
    </w:p>
    <w:p>
      <w:pPr>
        <w:spacing w:after="200"/>
        <w:ind w:left="708" w:firstLine="0"/>
        <w:jc w:val="both"/>
      </w:pPr>
      <w:r>
        <w:rPr>
          <w:rFonts w:ascii="Avenir Next LT Pro" w:hAnsi="Avenir Next LT Pro"/>
          <w:b w:val="0"/>
          <w:i w:val="0"/>
          <w:color w:val="1C4076"/>
          <w:sz w:val="22"/>
        </w:rPr>
        <w:t>The Company shall disclose the main terms of its agreements, any changes thereto and the termination of any such agreement.</w:t>
      </w:r>
    </w:p>
    <w:p>
      <w:pPr>
        <w:keepNext/>
        <w:tabs>
          <w:tab w:pos="708" w:val="left"/>
        </w:tabs>
        <w:spacing w:before="260" w:after="160"/>
        <w:ind w:left="708" w:hanging="708"/>
      </w:pPr>
      <w:r>
        <w:rPr>
          <w:rFonts w:ascii="Avenir Next LT Pro" w:hAnsi="Avenir Next LT Pro"/>
          <w:b/>
          <w:i w:val="0"/>
          <w:color w:val="1C4076"/>
          <w:sz w:val="28"/>
        </w:rPr>
        <w:t>8</w:t>
        <w:tab/>
        <w:t>Related party transactions</w:t>
      </w:r>
    </w:p>
    <w:p>
      <w:pPr>
        <w:spacing w:after="200"/>
        <w:ind w:left="708" w:firstLine="0"/>
        <w:jc w:val="both"/>
      </w:pPr>
      <w:r>
        <w:rPr>
          <w:rFonts w:ascii="Avenir Next LT Pro" w:hAnsi="Avenir Next LT Pro"/>
          <w:b w:val="0"/>
          <w:i w:val="0"/>
          <w:color w:val="1C4076"/>
          <w:sz w:val="22"/>
        </w:rPr>
        <w:t>A transaction between the Company and its related parties, which is not entered into in the ordinary course of business, shall be disclosed, if the transaction represents (i) a fair value of 10% or more of the total assets of the Group, (ii) a fair value of 25% or more of the Group’s operation profit as disclosed in the most recent annual report, or (iii) several transactions within a financial year with the same related party in total exceed the thresholds in (i) or (ii).</w:t>
      </w:r>
    </w:p>
    <w:p>
      <w:pPr>
        <w:spacing w:after="200"/>
        <w:ind w:left="708" w:firstLine="0"/>
        <w:jc w:val="both"/>
      </w:pPr>
      <w:r>
        <w:rPr>
          <w:rFonts w:ascii="Avenir Next LT Pro" w:hAnsi="Avenir Next LT Pro"/>
          <w:b w:val="0"/>
          <w:i w:val="0"/>
          <w:color w:val="1C4076"/>
          <w:sz w:val="22"/>
        </w:rPr>
        <w:t>Disclosure pursuant to this section 8 shall take place as soon as possible after an agreement regarding such transaction with a related party has been entered into.</w:t>
      </w:r>
    </w:p>
    <w:p>
      <w:pPr>
        <w:spacing w:after="200"/>
        <w:ind w:left="708" w:firstLine="0"/>
        <w:jc w:val="both"/>
      </w:pPr>
      <w:r>
        <w:rPr>
          <w:rFonts w:ascii="Avenir Next LT Pro" w:hAnsi="Avenir Next LT Pro"/>
          <w:b w:val="0"/>
          <w:i w:val="0"/>
          <w:color w:val="1C4076"/>
          <w:sz w:val="22"/>
        </w:rPr>
        <w:t>The disclosure shall at least take place by way of publication on the Company’s website and shall at least contain (i) information on the character of the relationship with the related party, (ii) the name of the related party, (iii) the date of conclusion of the agreement regarding the related party transaction, (iv) the fair value of the transaction and (v) any other information which is necessary to assess whether the transaction has been carried out on terms that are reasonable for the Company and the shareholders of the Company who are not related parties to the Company.</w:t>
      </w:r>
    </w:p>
    <w:p>
      <w:pPr>
        <w:spacing w:after="200"/>
        <w:ind w:left="708" w:firstLine="0"/>
        <w:jc w:val="both"/>
      </w:pPr>
      <w:r>
        <w:rPr>
          <w:rFonts w:ascii="Avenir Next LT Pro" w:hAnsi="Avenir Next LT Pro"/>
          <w:b w:val="0"/>
          <w:i w:val="0"/>
          <w:color w:val="1C4076"/>
          <w:sz w:val="22"/>
        </w:rPr>
        <w:t>The disclosure shall be available to the public on the Company’s website for five years.</w:t>
      </w:r>
    </w:p>
    <w:p>
      <w:pPr>
        <w:spacing w:after="200"/>
        <w:ind w:left="708" w:firstLine="0"/>
        <w:jc w:val="both"/>
      </w:pPr>
      <w:r>
        <w:rPr>
          <w:rFonts w:ascii="Avenir Next LT Pro" w:hAnsi="Avenir Next LT Pro"/>
          <w:b w:val="0"/>
          <w:i w:val="0"/>
          <w:color w:val="1C4076"/>
          <w:sz w:val="22"/>
        </w:rPr>
        <w:t>“Related parties” shall have the same meaning as set out in the International Accounting Standards 24, excluding transactions between the Company and its subsidiaries.</w:t>
      </w:r>
    </w:p>
    <w:p>
      <w:pPr>
        <w:spacing w:after="200"/>
        <w:ind w:left="708" w:firstLine="0"/>
        <w:jc w:val="both"/>
      </w:pPr>
      <w:r>
        <w:rPr>
          <w:rFonts w:ascii="Avenir Next LT Pro" w:hAnsi="Avenir Next LT Pro"/>
          <w:b w:val="0"/>
          <w:i w:val="0"/>
          <w:color w:val="1C4076"/>
          <w:sz w:val="22"/>
        </w:rPr>
        <w:t>The disclosure requirements set out in this section 8 does not apply in respect of (i) transactions between the Company and its subsidiaries, unless the Company’s related parties have significant interests in the subsidiary in question, (ii) clearly defined types of transactions to be approved by the general meeting (e.g. mergers and demergers, etc.), (iii) transactions regarding the remuneration of the Executive Management and the Board of Directors, and (iv) transactions which are offered to all shareholders of the Company on equal terms so that the equal treatment of all shareholders and the protection of the Company’s interests have been satisfied.</w:t>
      </w:r>
    </w:p>
    <w:p>
      <w:pPr>
        <w:spacing w:after="200"/>
        <w:ind w:left="708" w:firstLine="0"/>
        <w:jc w:val="both"/>
      </w:pPr>
      <w:r>
        <w:rPr>
          <w:rFonts w:ascii="Avenir Next LT Pro" w:hAnsi="Avenir Next LT Pro"/>
          <w:b w:val="0"/>
          <w:i w:val="0"/>
          <w:color w:val="1C4076"/>
          <w:sz w:val="22"/>
        </w:rPr>
        <w:t>This section 8 shall also apply in respect of transactions between the Company’s related parties and the Company’s subsidiaries.</w:t>
      </w:r>
    </w:p>
    <w:p>
      <w:pPr>
        <w:spacing w:after="200"/>
        <w:ind w:left="708" w:firstLine="0"/>
        <w:jc w:val="both"/>
      </w:pPr>
      <w:r>
        <w:rPr>
          <w:rFonts w:ascii="Avenir Next LT Pro" w:hAnsi="Avenir Next LT Pro"/>
          <w:b w:val="0"/>
          <w:i w:val="0"/>
          <w:color w:val="1C4076"/>
          <w:sz w:val="22"/>
        </w:rPr>
        <w:t>If the related party transaction will be deemed to constitute Inside Information, disclosure of such Inside Information must comply with the Company’s general disclosure obligation as described in Section 3 “Disclosure of Inside Information (general disclosure obligation)” above.</w:t>
      </w:r>
    </w:p>
    <w:p>
      <w:pPr>
        <w:keepNext/>
        <w:tabs>
          <w:tab w:pos="708" w:val="left"/>
        </w:tabs>
        <w:spacing w:before="260" w:after="160"/>
        <w:ind w:left="708" w:hanging="708"/>
      </w:pPr>
      <w:r>
        <w:rPr>
          <w:rFonts w:ascii="Avenir Next LT Pro" w:hAnsi="Avenir Next LT Pro"/>
          <w:b/>
          <w:i w:val="0"/>
          <w:color w:val="1C4076"/>
          <w:sz w:val="28"/>
        </w:rPr>
        <w:t>9</w:t>
        <w:tab/>
        <w:t>Share-based incentive programmes</w:t>
      </w:r>
    </w:p>
    <w:p>
      <w:pPr>
        <w:spacing w:after="200"/>
        <w:ind w:left="708" w:firstLine="0"/>
        <w:jc w:val="both"/>
      </w:pPr>
      <w:r>
        <w:rPr>
          <w:rFonts w:ascii="Avenir Next LT Pro" w:hAnsi="Avenir Next LT Pro"/>
          <w:b w:val="0"/>
          <w:i w:val="0"/>
          <w:color w:val="1C4076"/>
          <w:sz w:val="22"/>
        </w:rPr>
        <w:t>The Company shall disclose any decision to introduce share-based incentive programs. The announcement must contain information on the most important conditions for the program.</w:t>
      </w:r>
    </w:p>
    <w:p>
      <w:pPr>
        <w:spacing w:after="200"/>
        <w:ind w:left="708" w:firstLine="0"/>
        <w:jc w:val="both"/>
      </w:pPr>
      <w:r>
        <w:rPr>
          <w:rFonts w:ascii="Avenir Next LT Pro" w:hAnsi="Avenir Next LT Pro"/>
          <w:b w:val="0"/>
          <w:i w:val="0"/>
          <w:color w:val="1C4076"/>
          <w:sz w:val="22"/>
        </w:rPr>
        <w:t>The disclosure shall provide investors with information about the incentives for management and other employees and the dilution effect of the incentive programs in order to contribute to the investors’ understanding of the total potential liabilities under such programs. Rule 3.8.1 of the Rules for Issuers sets out special requirements as for the contents of such disclosure.</w:t>
      </w:r>
    </w:p>
    <w:p>
      <w:pPr>
        <w:spacing w:after="200"/>
        <w:ind w:left="708" w:firstLine="0"/>
        <w:jc w:val="both"/>
      </w:pPr>
      <w:r>
        <w:rPr>
          <w:rFonts w:ascii="Avenir Next LT Pro" w:hAnsi="Avenir Next LT Pro"/>
          <w:b w:val="0"/>
          <w:i w:val="0"/>
          <w:color w:val="1C4076"/>
          <w:sz w:val="22"/>
        </w:rPr>
        <w:t>Share-based incentive programs mean any incentive programs under which the participants receive Shares, financial instruments entitling to Shares, other financial instruments whose value is based on share price, synthetic programs under which cash settlement is based on share price or other similar programs.</w:t>
      </w:r>
    </w:p>
    <w:p>
      <w:pPr>
        <w:keepNext/>
        <w:tabs>
          <w:tab w:pos="708" w:val="left"/>
        </w:tabs>
        <w:spacing w:before="260" w:after="160"/>
        <w:ind w:left="708" w:hanging="708"/>
      </w:pPr>
      <w:r>
        <w:rPr>
          <w:rFonts w:ascii="Avenir Next LT Pro" w:hAnsi="Avenir Next LT Pro"/>
          <w:b/>
          <w:i w:val="0"/>
          <w:color w:val="1C4076"/>
          <w:sz w:val="28"/>
        </w:rPr>
        <w:t>10</w:t>
        <w:tab/>
        <w:t>Substantial changes to the identity or operations of the Company</w:t>
      </w:r>
    </w:p>
    <w:p>
      <w:pPr>
        <w:spacing w:after="200"/>
        <w:ind w:left="708" w:firstLine="0"/>
        <w:jc w:val="both"/>
      </w:pPr>
      <w:r>
        <w:rPr>
          <w:rFonts w:ascii="Avenir Next LT Pro" w:hAnsi="Avenir Next LT Pro"/>
          <w:b w:val="0"/>
          <w:i w:val="0"/>
          <w:color w:val="1C4076"/>
          <w:sz w:val="22"/>
        </w:rPr>
        <w:t>If the Company undergoes significant changes and, following those changes, may be regarded as an entirely new company, additional information regarding the Company shall be provided equivalent to what is required pursuant to the rules applicable to prospectuses. Prior to effecting such a change, Nasdaq Copenhagen should be contacted.</w:t>
      </w:r>
    </w:p>
    <w:p>
      <w:pPr>
        <w:keepNext/>
        <w:tabs>
          <w:tab w:pos="708" w:val="left"/>
        </w:tabs>
        <w:spacing w:before="260" w:after="160"/>
        <w:ind w:left="708" w:hanging="708"/>
      </w:pPr>
      <w:r>
        <w:rPr>
          <w:rFonts w:ascii="Avenir Next LT Pro" w:hAnsi="Avenir Next LT Pro"/>
          <w:b/>
          <w:i w:val="0"/>
          <w:color w:val="1C4076"/>
          <w:sz w:val="28"/>
        </w:rPr>
        <w:t>11</w:t>
        <w:tab/>
        <w:t>Issue of Financial Instruments</w:t>
      </w:r>
    </w:p>
    <w:p>
      <w:pPr>
        <w:spacing w:after="200"/>
        <w:ind w:left="708" w:firstLine="0"/>
        <w:jc w:val="both"/>
      </w:pPr>
      <w:r>
        <w:rPr>
          <w:rFonts w:ascii="Avenir Next LT Pro" w:hAnsi="Avenir Next LT Pro"/>
          <w:b w:val="0"/>
          <w:i w:val="0"/>
          <w:color w:val="1C4076"/>
          <w:sz w:val="22"/>
        </w:rPr>
        <w:t>The Company must publish any proposal and any decision to change the share capital or the number of Shares or other Financial Instruments attaching to the Shares, unless such issue will be immaterial. The announcement must contain all significant information about the issue.</w:t>
      </w:r>
    </w:p>
    <w:p>
      <w:pPr>
        <w:keepNext/>
        <w:tabs>
          <w:tab w:pos="708" w:val="left"/>
        </w:tabs>
        <w:spacing w:before="260" w:after="160"/>
        <w:ind w:left="708" w:hanging="708"/>
      </w:pPr>
      <w:r>
        <w:rPr>
          <w:rFonts w:ascii="Avenir Next LT Pro" w:hAnsi="Avenir Next LT Pro"/>
          <w:b/>
          <w:i w:val="0"/>
          <w:color w:val="1C4076"/>
          <w:sz w:val="28"/>
        </w:rPr>
        <w:t>12</w:t>
        <w:tab/>
        <w:t>Decisions concerning admission to trading</w:t>
      </w:r>
    </w:p>
    <w:p>
      <w:pPr>
        <w:spacing w:after="200"/>
        <w:ind w:left="708" w:firstLine="0"/>
        <w:jc w:val="both"/>
      </w:pPr>
      <w:r>
        <w:rPr>
          <w:rFonts w:ascii="Avenir Next LT Pro" w:hAnsi="Avenir Next LT Pro"/>
          <w:b w:val="0"/>
          <w:i w:val="0"/>
          <w:color w:val="1C4076"/>
          <w:sz w:val="22"/>
        </w:rPr>
        <w:t>The Company must disclose if it wishes to apply for secondary listing on another market place than Nasdaq Copenhagen. The Company must also state if it decides to apply for removal of its shares from trading on Nasdaq Copenhagen. Finally, the Company must state if such applications are granted or rejected.</w:t>
      </w:r>
    </w:p>
    <w:p>
      <w:pPr>
        <w:keepNext/>
        <w:tabs>
          <w:tab w:pos="708" w:val="left"/>
        </w:tabs>
        <w:spacing w:before="260" w:after="160"/>
        <w:ind w:left="708" w:hanging="708"/>
      </w:pPr>
      <w:r>
        <w:rPr>
          <w:rFonts w:ascii="Avenir Next LT Pro" w:hAnsi="Avenir Next LT Pro"/>
          <w:b/>
          <w:i w:val="0"/>
          <w:color w:val="1C4076"/>
          <w:sz w:val="28"/>
        </w:rPr>
        <w:t>13</w:t>
        <w:tab/>
        <w:t>Disclosure considered necessary to provide fairly and orderly trading</w:t>
      </w:r>
    </w:p>
    <w:p>
      <w:pPr>
        <w:spacing w:after="200"/>
        <w:ind w:left="708" w:firstLine="0"/>
        <w:jc w:val="both"/>
      </w:pPr>
      <w:r>
        <w:rPr>
          <w:rFonts w:ascii="Avenir Next LT Pro" w:hAnsi="Avenir Next LT Pro"/>
          <w:b w:val="0"/>
          <w:i w:val="0"/>
          <w:color w:val="1C4076"/>
          <w:sz w:val="22"/>
        </w:rPr>
        <w:t>If Nasdaq Copenhagen considers that special circumstances exist that result in substantial uncertainty regarding the Company or the pricing of its Shares and that additional information is required in order for Nasdaq Copenhagen to be able to provide fair and orderly trading in the Company’s Shares, Nasdaq Copenhagen can require the Company to disclose relevant information whether or not such information is considered Inside Information.</w:t>
      </w:r>
    </w:p>
    <w:p>
      <w:pPr>
        <w:keepNext/>
        <w:tabs>
          <w:tab w:pos="708" w:val="left"/>
        </w:tabs>
        <w:spacing w:before="260" w:after="160"/>
        <w:ind w:left="708" w:hanging="708"/>
      </w:pPr>
      <w:r>
        <w:rPr>
          <w:rFonts w:ascii="Avenir Next LT Pro" w:hAnsi="Avenir Next LT Pro"/>
          <w:b/>
          <w:i w:val="0"/>
          <w:color w:val="1C4076"/>
          <w:sz w:val="28"/>
        </w:rPr>
        <w:t>14</w:t>
        <w:tab/>
        <w:t>Major shareholder announcements</w:t>
      </w:r>
    </w:p>
    <w:p>
      <w:pPr>
        <w:spacing w:after="200"/>
        <w:ind w:left="708" w:firstLine="0"/>
        <w:jc w:val="both"/>
      </w:pPr>
      <w:r>
        <w:rPr>
          <w:rFonts w:ascii="Avenir Next LT Pro" w:hAnsi="Avenir Next LT Pro"/>
          <w:b w:val="0"/>
          <w:i w:val="0"/>
          <w:color w:val="1C4076"/>
          <w:sz w:val="22"/>
        </w:rPr>
        <w:t>If the Company receives a major shareholder notification pursuant to sections 38 and 39 of the Capital Markets Act, the Company must publish the contents of the notification through a separate company announcement on the date of receipt of such notification, however no later than three business days after receipt of the notification.</w:t>
      </w:r>
    </w:p>
    <w:p>
      <w:pPr>
        <w:keepNext/>
        <w:tabs>
          <w:tab w:pos="708" w:val="left"/>
        </w:tabs>
        <w:spacing w:before="260" w:after="160"/>
        <w:ind w:left="708" w:hanging="708"/>
      </w:pPr>
      <w:r>
        <w:rPr>
          <w:rFonts w:ascii="Avenir Next LT Pro" w:hAnsi="Avenir Next LT Pro"/>
          <w:b/>
          <w:i w:val="0"/>
          <w:color w:val="1C4076"/>
          <w:sz w:val="28"/>
        </w:rPr>
        <w:t>15</w:t>
        <w:tab/>
        <w:t>Voting rights and share capital</w:t>
      </w:r>
    </w:p>
    <w:p>
      <w:pPr>
        <w:spacing w:after="200"/>
        <w:ind w:left="708" w:firstLine="0"/>
        <w:jc w:val="both"/>
      </w:pPr>
      <w:r>
        <w:rPr>
          <w:rFonts w:ascii="Avenir Next LT Pro" w:hAnsi="Avenir Next LT Pro"/>
          <w:b w:val="0"/>
          <w:i w:val="0"/>
          <w:color w:val="1C4076"/>
          <w:sz w:val="22"/>
        </w:rPr>
        <w:t>If an increase or decrease has taken place in the Company’s share capital and/or voting rights, the Company shall no later than at the end of the calendar month in which the increase or decrease took place, disclose the total number of voting rights and the total share capital of the Company in accordance with section 32 of the Capital Markets Act.</w:t>
      </w:r>
    </w:p>
    <w:p>
      <w:pPr>
        <w:keepNext/>
        <w:tabs>
          <w:tab w:pos="708" w:val="left"/>
        </w:tabs>
        <w:spacing w:before="260" w:after="160"/>
        <w:ind w:left="708" w:hanging="708"/>
      </w:pPr>
      <w:r>
        <w:rPr>
          <w:rFonts w:ascii="Avenir Next LT Pro" w:hAnsi="Avenir Next LT Pro"/>
          <w:b/>
          <w:i w:val="0"/>
          <w:color w:val="1C4076"/>
          <w:sz w:val="28"/>
        </w:rPr>
        <w:t>16</w:t>
        <w:tab/>
        <w:t>Share buyback under the Safe Harbour Rules</w:t>
      </w:r>
    </w:p>
    <w:p>
      <w:pPr>
        <w:spacing w:after="200"/>
        <w:ind w:left="708" w:firstLine="0"/>
        <w:jc w:val="both"/>
      </w:pPr>
      <w:r>
        <w:rPr>
          <w:rFonts w:ascii="Avenir Next LT Pro" w:hAnsi="Avenir Next LT Pro"/>
          <w:b w:val="0"/>
          <w:i w:val="0"/>
          <w:color w:val="1C4076"/>
          <w:sz w:val="22"/>
        </w:rPr>
        <w:t>If the Company decides to initiate a share buyback programme in accordance with the Safe Harbour Rules, announcements must be published in accordance with the requirements of these rules.</w:t>
      </w:r>
    </w:p>
    <w:p>
      <w:pPr>
        <w:keepNext/>
        <w:tabs>
          <w:tab w:pos="708" w:val="left"/>
        </w:tabs>
        <w:spacing w:before="260" w:after="160"/>
        <w:ind w:left="708" w:hanging="708"/>
      </w:pPr>
      <w:r>
        <w:rPr>
          <w:rFonts w:ascii="Avenir Next LT Pro" w:hAnsi="Avenir Next LT Pro"/>
          <w:b/>
          <w:i w:val="0"/>
          <w:color w:val="1C4076"/>
          <w:sz w:val="28"/>
        </w:rPr>
        <w:t>17</w:t>
        <w:tab/>
        <w:t>Treasury shares</w:t>
      </w:r>
    </w:p>
    <w:p>
      <w:pPr>
        <w:spacing w:after="200"/>
        <w:ind w:left="708" w:firstLine="0"/>
        <w:jc w:val="both"/>
      </w:pPr>
      <w:r>
        <w:rPr>
          <w:rFonts w:ascii="Avenir Next LT Pro" w:hAnsi="Avenir Next LT Pro"/>
          <w:b w:val="0"/>
          <w:i w:val="0"/>
          <w:color w:val="1C4076"/>
          <w:sz w:val="22"/>
        </w:rPr>
        <w:t>The Company shall disclose its holding of treasury Shares in accordance with section 31 of the Capital Markets Act if the Company’s holding of treasury Shares reaches, exceeds or falls below 5% or 10% of the voting rights or the share capital in the Company. Disclosure shall be made promptly; however, no later than four business days after the day of the transaction where the threshold was crossed. The company announcement will through the Company’s chosen news distribution service also be submitted to Nasdaq Copenhagen and the Danish Financial Supervisory Authority ensuring the Company’s compliance with its reporting obligation to the Danish Financial Supervisory Authority.</w:t>
      </w:r>
    </w:p>
    <w:p>
      <w:pPr>
        <w:keepNext/>
        <w:spacing w:before="260" w:after="160"/>
      </w:pPr>
      <w:r>
        <w:rPr>
          <w:rFonts w:ascii="Avenir Next LT Pro" w:hAnsi="Avenir Next LT Pro"/>
          <w:b/>
          <w:i w:val="0"/>
          <w:color w:val="1C4076"/>
          <w:sz w:val="28"/>
        </w:rPr>
        <w:t>Appendix A – Definitions</w:t>
      </w:r>
    </w:p>
    <w:tbl>
      <w:tblPr>
        <w:tblStyle w:val="TableGrid"/>
        <w:tblW w:type="auto" w:w="0"/>
        <w:jc w:val="center"/>
        <w:tblLook w:firstColumn="1" w:firstRow="1" w:lastColumn="0" w:lastRow="0" w:noHBand="0" w:noVBand="1" w:val="04A0"/>
      </w:tblPr>
      <w:tblGrid>
        <w:gridCol w:w="5103"/>
        <w:gridCol w:w="5103"/>
      </w:tblGrid>
      <w:tr>
        <w:tc>
          <w:tcPr>
            <w:tcW w:type="dxa" w:w="5103"/>
          </w:tcPr>
          <w:p>
            <w:r/>
            <w:r>
              <w:rPr>
                <w:rFonts w:ascii="Avenir Next LT Pro" w:hAnsi="Avenir Next LT Pro"/>
                <w:b w:val="0"/>
                <w:i w:val="0"/>
                <w:color w:val="1C4076"/>
                <w:sz w:val="17"/>
              </w:rPr>
              <w:t>Board of Directors</w:t>
            </w:r>
          </w:p>
        </w:tc>
        <w:tc>
          <w:tcPr>
            <w:tcW w:type="dxa" w:w="5103"/>
          </w:tcPr>
          <w:p>
            <w:r/>
            <w:r>
              <w:rPr>
                <w:rFonts w:ascii="Avenir Next LT Pro" w:hAnsi="Avenir Next LT Pro"/>
                <w:b w:val="0"/>
                <w:i w:val="0"/>
                <w:color w:val="1C4076"/>
                <w:sz w:val="17"/>
              </w:rPr>
              <w:t>The Board of Directors of the Company and the individual members thereof.</w:t>
            </w:r>
          </w:p>
        </w:tc>
      </w:tr>
      <w:tr>
        <w:tc>
          <w:tcPr>
            <w:tcW w:type="dxa" w:w="5103"/>
          </w:tcPr>
          <w:p>
            <w:r/>
            <w:r>
              <w:rPr>
                <w:rFonts w:ascii="Avenir Next LT Pro" w:hAnsi="Avenir Next LT Pro"/>
                <w:b w:val="0"/>
                <w:i w:val="0"/>
                <w:color w:val="1C4076"/>
                <w:sz w:val="17"/>
              </w:rPr>
              <w:t>Capital Markets Act</w:t>
            </w:r>
          </w:p>
        </w:tc>
        <w:tc>
          <w:tcPr>
            <w:tcW w:type="dxa" w:w="5103"/>
          </w:tcPr>
          <w:p>
            <w:r/>
            <w:r>
              <w:rPr>
                <w:rFonts w:ascii="Avenir Next LT Pro" w:hAnsi="Avenir Next LT Pro"/>
                <w:b w:val="0"/>
                <w:i w:val="0"/>
                <w:color w:val="1C4076"/>
                <w:sz w:val="17"/>
              </w:rPr>
              <w:t>The Danish Capital Markets Act as amended from time to time.</w:t>
            </w:r>
          </w:p>
        </w:tc>
      </w:tr>
      <w:tr>
        <w:tc>
          <w:tcPr>
            <w:tcW w:type="dxa" w:w="5103"/>
          </w:tcPr>
          <w:p>
            <w:r/>
            <w:r>
              <w:rPr>
                <w:rFonts w:ascii="Avenir Next LT Pro" w:hAnsi="Avenir Next LT Pro"/>
                <w:b w:val="0"/>
                <w:i w:val="0"/>
                <w:color w:val="1C4076"/>
                <w:sz w:val="17"/>
              </w:rPr>
              <w:t>Company</w:t>
            </w:r>
          </w:p>
        </w:tc>
        <w:tc>
          <w:tcPr>
            <w:tcW w:type="dxa" w:w="5103"/>
          </w:tcPr>
          <w:p>
            <w:r/>
            <w:r>
              <w:rPr>
                <w:rFonts w:ascii="Avenir Next LT Pro" w:hAnsi="Avenir Next LT Pro"/>
                <w:b w:val="0"/>
                <w:i w:val="0"/>
                <w:color w:val="1C4076"/>
                <w:sz w:val="17"/>
              </w:rPr>
              <w:t>BioMar Group A/S, CVR no. 38 57 06 17.</w:t>
            </w:r>
          </w:p>
        </w:tc>
      </w:tr>
      <w:tr>
        <w:tc>
          <w:tcPr>
            <w:tcW w:type="dxa" w:w="5103"/>
          </w:tcPr>
          <w:p>
            <w:r/>
            <w:r>
              <w:rPr>
                <w:rFonts w:ascii="Avenir Next LT Pro" w:hAnsi="Avenir Next LT Pro"/>
                <w:b w:val="0"/>
                <w:i w:val="0"/>
                <w:color w:val="1C4076"/>
                <w:sz w:val="17"/>
              </w:rPr>
              <w:t>Executive Management</w:t>
            </w:r>
          </w:p>
        </w:tc>
        <w:tc>
          <w:tcPr>
            <w:tcW w:type="dxa" w:w="5103"/>
          </w:tcPr>
          <w:p>
            <w:r/>
            <w:r>
              <w:rPr>
                <w:rFonts w:ascii="Avenir Next LT Pro" w:hAnsi="Avenir Next LT Pro"/>
                <w:b w:val="0"/>
                <w:i w:val="0"/>
                <w:color w:val="1C4076"/>
                <w:sz w:val="17"/>
              </w:rPr>
              <w:t>The Executive Management of the Company and the individual members thereof as registered with the Danish Business Authority.</w:t>
            </w:r>
          </w:p>
        </w:tc>
      </w:tr>
      <w:tr>
        <w:tc>
          <w:tcPr>
            <w:tcW w:type="dxa" w:w="5103"/>
          </w:tcPr>
          <w:p>
            <w:r/>
            <w:r>
              <w:rPr>
                <w:rFonts w:ascii="Avenir Next LT Pro" w:hAnsi="Avenir Next LT Pro"/>
                <w:b w:val="0"/>
                <w:i w:val="0"/>
                <w:color w:val="1C4076"/>
                <w:sz w:val="17"/>
              </w:rPr>
              <w:t>Financial Instruments</w:t>
            </w:r>
          </w:p>
        </w:tc>
        <w:tc>
          <w:tcPr>
            <w:tcW w:type="dxa" w:w="5103"/>
          </w:tcPr>
          <w:p>
            <w:r/>
            <w:r>
              <w:rPr>
                <w:rFonts w:ascii="Avenir Next LT Pro" w:hAnsi="Avenir Next LT Pro"/>
                <w:b w:val="0"/>
                <w:i w:val="0"/>
                <w:color w:val="1C4076"/>
                <w:sz w:val="17"/>
              </w:rPr>
              <w:t>Any financial instrument (including the Shares) issued by the Company or a company as defined in Article 4(1)(15) of Directive 2014/65/EU (MiFID II), including share options, subscription rights, futures and debt instruments.</w:t>
            </w:r>
          </w:p>
        </w:tc>
      </w:tr>
      <w:tr>
        <w:tc>
          <w:tcPr>
            <w:tcW w:type="dxa" w:w="5103"/>
          </w:tcPr>
          <w:p>
            <w:r/>
            <w:r>
              <w:rPr>
                <w:rFonts w:ascii="Avenir Next LT Pro" w:hAnsi="Avenir Next LT Pro"/>
                <w:b w:val="0"/>
                <w:i w:val="0"/>
                <w:color w:val="1C4076"/>
                <w:sz w:val="17"/>
              </w:rPr>
              <w:t>Group</w:t>
            </w:r>
          </w:p>
        </w:tc>
        <w:tc>
          <w:tcPr>
            <w:tcW w:type="dxa" w:w="5103"/>
          </w:tcPr>
          <w:p>
            <w:r/>
            <w:r>
              <w:rPr>
                <w:rFonts w:ascii="Avenir Next LT Pro" w:hAnsi="Avenir Next LT Pro"/>
                <w:b w:val="0"/>
                <w:i w:val="0"/>
                <w:color w:val="1C4076"/>
                <w:sz w:val="17"/>
              </w:rPr>
              <w:t>The Company and its subsidiaries from time to time.</w:t>
            </w:r>
          </w:p>
        </w:tc>
      </w:tr>
      <w:tr>
        <w:tc>
          <w:tcPr>
            <w:tcW w:type="dxa" w:w="5103"/>
          </w:tcPr>
          <w:p>
            <w:r/>
            <w:r>
              <w:rPr>
                <w:rFonts w:ascii="Avenir Next LT Pro" w:hAnsi="Avenir Next LT Pro"/>
                <w:b w:val="0"/>
                <w:i w:val="0"/>
                <w:color w:val="1C4076"/>
                <w:sz w:val="17"/>
              </w:rPr>
              <w:t>Inside information</w:t>
            </w:r>
          </w:p>
        </w:tc>
        <w:tc>
          <w:tcPr>
            <w:tcW w:type="dxa" w:w="5103"/>
          </w:tcPr>
          <w:p>
            <w:r/>
            <w:r>
              <w:rPr>
                <w:rFonts w:ascii="Avenir Next LT Pro" w:hAnsi="Avenir Next LT Pro"/>
                <w:b w:val="0"/>
                <w:i w:val="0"/>
                <w:color w:val="1C4076"/>
                <w:sz w:val="17"/>
              </w:rPr>
              <w:t>See definition in Appendix B.</w:t>
            </w:r>
          </w:p>
        </w:tc>
      </w:tr>
      <w:tr>
        <w:tc>
          <w:tcPr>
            <w:tcW w:type="dxa" w:w="5103"/>
          </w:tcPr>
          <w:p>
            <w:r/>
            <w:r>
              <w:rPr>
                <w:rFonts w:ascii="Avenir Next LT Pro" w:hAnsi="Avenir Next LT Pro"/>
                <w:b w:val="0"/>
                <w:i w:val="0"/>
                <w:color w:val="1C4076"/>
                <w:sz w:val="17"/>
              </w:rPr>
              <w:t>Market Abuse Regulation</w:t>
            </w:r>
          </w:p>
        </w:tc>
        <w:tc>
          <w:tcPr>
            <w:tcW w:type="dxa" w:w="5103"/>
          </w:tcPr>
          <w:p>
            <w:r/>
            <w:r>
              <w:rPr>
                <w:rFonts w:ascii="Avenir Next LT Pro" w:hAnsi="Avenir Next LT Pro"/>
                <w:b w:val="0"/>
                <w:i w:val="0"/>
                <w:color w:val="1C4076"/>
                <w:sz w:val="17"/>
              </w:rPr>
              <w:t>Regulation (EU) no. 596/2014 of 16 April 2014 on market abuse, as amended from time to time.</w:t>
            </w:r>
          </w:p>
        </w:tc>
      </w:tr>
      <w:tr>
        <w:tc>
          <w:tcPr>
            <w:tcW w:type="dxa" w:w="5103"/>
          </w:tcPr>
          <w:p>
            <w:r/>
            <w:r>
              <w:rPr>
                <w:rFonts w:ascii="Avenir Next LT Pro" w:hAnsi="Avenir Next LT Pro"/>
                <w:b w:val="0"/>
                <w:i w:val="0"/>
                <w:color w:val="1C4076"/>
                <w:sz w:val="17"/>
              </w:rPr>
              <w:t>Nasdaq Copenhagen</w:t>
            </w:r>
          </w:p>
        </w:tc>
        <w:tc>
          <w:tcPr>
            <w:tcW w:type="dxa" w:w="5103"/>
          </w:tcPr>
          <w:p>
            <w:r/>
            <w:r>
              <w:rPr>
                <w:rFonts w:ascii="Avenir Next LT Pro" w:hAnsi="Avenir Next LT Pro"/>
                <w:b w:val="0"/>
                <w:i w:val="0"/>
                <w:color w:val="1C4076"/>
                <w:sz w:val="17"/>
              </w:rPr>
              <w:t>Nasdaq Copenhagen A/S.</w:t>
            </w:r>
          </w:p>
        </w:tc>
      </w:tr>
      <w:tr>
        <w:tc>
          <w:tcPr>
            <w:tcW w:type="dxa" w:w="5103"/>
          </w:tcPr>
          <w:p>
            <w:r/>
            <w:r>
              <w:rPr>
                <w:rFonts w:ascii="Avenir Next LT Pro" w:hAnsi="Avenir Next LT Pro"/>
                <w:b w:val="0"/>
                <w:i w:val="0"/>
                <w:color w:val="1C4076"/>
                <w:sz w:val="17"/>
              </w:rPr>
              <w:t>Rules for Issuers</w:t>
            </w:r>
          </w:p>
        </w:tc>
        <w:tc>
          <w:tcPr>
            <w:tcW w:type="dxa" w:w="5103"/>
          </w:tcPr>
          <w:p>
            <w:r/>
            <w:r>
              <w:rPr>
                <w:rFonts w:ascii="Avenir Next LT Pro" w:hAnsi="Avenir Next LT Pro"/>
                <w:b w:val="0"/>
                <w:i w:val="0"/>
                <w:color w:val="1C4076"/>
                <w:sz w:val="17"/>
              </w:rPr>
              <w:t>Nasdaq’s Nordic Main Market Rulebook for Issuers of Shares.</w:t>
            </w:r>
          </w:p>
        </w:tc>
      </w:tr>
      <w:tr>
        <w:tc>
          <w:tcPr>
            <w:tcW w:type="dxa" w:w="5103"/>
          </w:tcPr>
          <w:p>
            <w:r/>
            <w:r>
              <w:rPr>
                <w:rFonts w:ascii="Avenir Next LT Pro" w:hAnsi="Avenir Next LT Pro"/>
                <w:b w:val="0"/>
                <w:i w:val="0"/>
                <w:color w:val="1C4076"/>
                <w:sz w:val="17"/>
              </w:rPr>
              <w:t>Safe Harbor Rules</w:t>
            </w:r>
          </w:p>
        </w:tc>
        <w:tc>
          <w:tcPr>
            <w:tcW w:type="dxa" w:w="5103"/>
          </w:tcPr>
          <w:p>
            <w:r/>
            <w:r>
              <w:rPr>
                <w:rFonts w:ascii="Avenir Next LT Pro" w:hAnsi="Avenir Next LT Pro"/>
                <w:b w:val="0"/>
                <w:i w:val="0"/>
                <w:color w:val="1C4076"/>
                <w:sz w:val="17"/>
              </w:rPr>
              <w:t>The Market Abuse Regulation art. 5 and any regulation issued pursuant hereto.</w:t>
            </w:r>
          </w:p>
        </w:tc>
      </w:tr>
      <w:tr>
        <w:tc>
          <w:tcPr>
            <w:tcW w:type="dxa" w:w="5103"/>
          </w:tcPr>
          <w:p>
            <w:r/>
            <w:r>
              <w:rPr>
                <w:rFonts w:ascii="Avenir Next LT Pro" w:hAnsi="Avenir Next LT Pro"/>
                <w:b w:val="0"/>
                <w:i w:val="0"/>
                <w:color w:val="1C4076"/>
                <w:sz w:val="17"/>
              </w:rPr>
              <w:t>Shares</w:t>
            </w:r>
          </w:p>
        </w:tc>
        <w:tc>
          <w:tcPr>
            <w:tcW w:type="dxa" w:w="5103"/>
          </w:tcPr>
          <w:p>
            <w:r/>
            <w:r>
              <w:rPr>
                <w:rFonts w:ascii="Avenir Next LT Pro" w:hAnsi="Avenir Next LT Pro"/>
                <w:b w:val="0"/>
                <w:i w:val="0"/>
                <w:color w:val="1C4076"/>
                <w:sz w:val="17"/>
              </w:rPr>
              <w:t>Shares issued by the Company.</w:t>
            </w:r>
          </w:p>
        </w:tc>
      </w:tr>
    </w:tbl>
    <w:p>
      <w:pPr>
        <w:keepNext/>
        <w:spacing w:before="260" w:after="160"/>
      </w:pPr>
      <w:r>
        <w:rPr>
          <w:rFonts w:ascii="Avenir Next LT Pro" w:hAnsi="Avenir Next LT Pro"/>
          <w:b/>
          <w:i w:val="0"/>
          <w:color w:val="1C4076"/>
          <w:sz w:val="28"/>
        </w:rPr>
        <w:t>Appendix B – Inside Information</w:t>
      </w:r>
    </w:p>
    <w:p>
      <w:pPr>
        <w:spacing w:after="200"/>
        <w:ind w:left="708" w:firstLine="0"/>
        <w:jc w:val="both"/>
      </w:pPr>
      <w:r>
        <w:rPr>
          <w:rFonts w:ascii="Avenir Next LT Pro" w:hAnsi="Avenir Next LT Pro"/>
          <w:b w:val="0"/>
          <w:i w:val="0"/>
          <w:color w:val="1C4076"/>
          <w:sz w:val="22"/>
        </w:rPr>
        <w:t xml:space="preserve">Article 7(1)(a) of the Market Abuse Regulation defines Inside Information as: </w:t>
      </w:r>
      <w:r>
        <w:rPr>
          <w:rFonts w:ascii="Avenir Next LT Pro" w:hAnsi="Avenir Next LT Pro"/>
          <w:b w:val="0"/>
          <w:i/>
          <w:color w:val="1C4076"/>
          <w:sz w:val="22"/>
        </w:rPr>
        <w:t>“information of a precise nature, which has not been made public, relating, directly or indirectly, to one or more issuers or to one or more financial instruments, and which, if it were made public, would be likely to have a significant effect on the prices of those financial instruments or on the price of related derivative financial instruments”</w:t>
      </w:r>
      <w:r>
        <w:rPr>
          <w:rFonts w:ascii="Avenir Next LT Pro" w:hAnsi="Avenir Next LT Pro"/>
          <w:b w:val="0"/>
          <w:i w:val="0"/>
          <w:color w:val="1C4076"/>
          <w:sz w:val="22"/>
        </w:rPr>
        <w:t>.</w:t>
      </w:r>
    </w:p>
    <w:p>
      <w:pPr>
        <w:spacing w:after="200"/>
        <w:ind w:left="708" w:firstLine="0"/>
        <w:jc w:val="both"/>
      </w:pPr>
      <w:r>
        <w:rPr>
          <w:rFonts w:ascii="Avenir Next LT Pro" w:hAnsi="Avenir Next LT Pro"/>
          <w:b w:val="0"/>
          <w:i w:val="0"/>
          <w:color w:val="1C4076"/>
          <w:sz w:val="22"/>
        </w:rPr>
        <w:t>Information shall be deemed to be of “a precise nature” if it indicates a set of circumstances which exists or which may reasonably be expected to come into existence, or an event which has occurred or which may reasonably be expected to occur where it is specific enough to enable a conclusion to be drawn as to the possible effect of that set of circumstances or event on the prices of the financial instruments or the related derivate financial instrument. In the case of a protracted process that is intended to bring about, or that results in, particular circumstances or a particular event, those future circumstances or that future event, and also the intermediate steps of that process which are connected with bringing about or resulting in those future circumstances or that future event, may be deemed to be precise information.</w:t>
      </w:r>
    </w:p>
    <w:p>
      <w:pPr>
        <w:spacing w:after="200"/>
        <w:ind w:left="708" w:firstLine="0"/>
        <w:jc w:val="both"/>
      </w:pPr>
      <w:r>
        <w:rPr>
          <w:rFonts w:ascii="Avenir Next LT Pro" w:hAnsi="Avenir Next LT Pro"/>
          <w:b w:val="0"/>
          <w:i w:val="0"/>
          <w:color w:val="1C4076"/>
          <w:sz w:val="22"/>
        </w:rPr>
        <w:t>The disclosure obligation in relation to Inside Information that arises in relation to an intermediate step in a protracted process is required once the final circumstances or final event has occurred, provided that confidentiality is ensured.</w:t>
      </w:r>
    </w:p>
    <w:p>
      <w:pPr>
        <w:spacing w:after="200"/>
        <w:ind w:left="708" w:firstLine="0"/>
        <w:jc w:val="both"/>
      </w:pPr>
      <w:r>
        <w:rPr>
          <w:rFonts w:ascii="Avenir Next LT Pro" w:hAnsi="Avenir Next LT Pro"/>
          <w:b w:val="0"/>
          <w:i w:val="0"/>
          <w:color w:val="1C4076"/>
          <w:sz w:val="22"/>
        </w:rPr>
        <w:t>Information which, if it were made public, would be likely to have a significant effect on the prices of financial instruments etc. shall mean information a reasonable investor would be likely to use as part of the basis of his or her investment decisions.</w:t>
      </w:r>
    </w:p>
    <w:p>
      <w:pPr>
        <w:spacing w:after="200"/>
        <w:ind w:left="708" w:firstLine="0"/>
        <w:jc w:val="both"/>
      </w:pPr>
      <w:r>
        <w:rPr>
          <w:rFonts w:ascii="Avenir Next LT Pro" w:hAnsi="Avenir Next LT Pro"/>
          <w:b w:val="0"/>
          <w:i w:val="0"/>
          <w:color w:val="1C4076"/>
          <w:sz w:val="22"/>
        </w:rPr>
        <w:t>The nature of the information that may be deemed Inside Information is not set out in the legislation. Below are examples of circumstances which depending on the circumstances may be considered Inside Information:</w:t>
      </w:r>
    </w:p>
    <w:p>
      <w:pPr>
        <w:pStyle w:val="ListBullet"/>
        <w:spacing w:after="80"/>
      </w:pPr>
      <w:r>
        <w:rPr>
          <w:rFonts w:ascii="Avenir Next LT Pro" w:hAnsi="Avenir Next LT Pro"/>
          <w:b w:val="0"/>
          <w:i w:val="0"/>
          <w:color w:val="1C4076"/>
          <w:sz w:val="22"/>
        </w:rPr>
        <w:t>Major expansions or reductions in the Company’s activities.</w:t>
      </w:r>
    </w:p>
    <w:p>
      <w:pPr>
        <w:pStyle w:val="ListBullet"/>
        <w:spacing w:after="80"/>
      </w:pPr>
      <w:r>
        <w:rPr>
          <w:rFonts w:ascii="Avenir Next LT Pro" w:hAnsi="Avenir Next LT Pro"/>
          <w:b w:val="0"/>
          <w:i w:val="0"/>
          <w:color w:val="1C4076"/>
          <w:sz w:val="22"/>
        </w:rPr>
        <w:t>Acquisition or sale of material companies/subsidiaries or fixed assets.</w:t>
      </w:r>
    </w:p>
    <w:p>
      <w:pPr>
        <w:pStyle w:val="ListBullet"/>
        <w:spacing w:after="80"/>
      </w:pPr>
      <w:r>
        <w:rPr>
          <w:rFonts w:ascii="Avenir Next LT Pro" w:hAnsi="Avenir Next LT Pro"/>
          <w:b w:val="0"/>
          <w:i w:val="0"/>
          <w:color w:val="1C4076"/>
          <w:sz w:val="22"/>
        </w:rPr>
        <w:t>Changes to financial guidance previously communicated to the market.</w:t>
      </w:r>
    </w:p>
    <w:p>
      <w:pPr>
        <w:pStyle w:val="ListBullet"/>
        <w:spacing w:after="80"/>
      </w:pPr>
      <w:r>
        <w:rPr>
          <w:rFonts w:ascii="Avenir Next LT Pro" w:hAnsi="Avenir Next LT Pro"/>
          <w:b w:val="0"/>
          <w:i w:val="0"/>
          <w:color w:val="1C4076"/>
          <w:sz w:val="22"/>
        </w:rPr>
        <w:t>Financial results outside previously communicated guidance.</w:t>
      </w:r>
    </w:p>
    <w:p>
      <w:pPr>
        <w:pStyle w:val="ListBullet"/>
        <w:spacing w:after="80"/>
      </w:pPr>
      <w:r>
        <w:rPr>
          <w:rFonts w:ascii="Avenir Next LT Pro" w:hAnsi="Avenir Next LT Pro"/>
          <w:b w:val="0"/>
          <w:i w:val="0"/>
          <w:color w:val="1C4076"/>
          <w:sz w:val="22"/>
        </w:rPr>
        <w:t>Material amendments to the Company’s strategy plan.</w:t>
      </w:r>
    </w:p>
    <w:p>
      <w:pPr>
        <w:pStyle w:val="ListBullet"/>
        <w:spacing w:after="80"/>
      </w:pPr>
      <w:r>
        <w:rPr>
          <w:rFonts w:ascii="Avenir Next LT Pro" w:hAnsi="Avenir Next LT Pro"/>
          <w:b w:val="0"/>
          <w:i w:val="0"/>
          <w:color w:val="1C4076"/>
          <w:sz w:val="22"/>
        </w:rPr>
        <w:t>Appointment and dismissal of the CEO and changes to the Chair of the Board of Directors.</w:t>
      </w:r>
    </w:p>
    <w:p>
      <w:pPr>
        <w:pStyle w:val="ListBullet"/>
        <w:spacing w:after="80"/>
      </w:pPr>
      <w:r>
        <w:rPr>
          <w:rFonts w:ascii="Avenir Next LT Pro" w:hAnsi="Avenir Next LT Pro"/>
          <w:b w:val="0"/>
          <w:i w:val="0"/>
          <w:color w:val="1C4076"/>
          <w:sz w:val="22"/>
        </w:rPr>
        <w:t>Entering into or termination of major contracts of a material size or strategic significance.</w:t>
      </w:r>
    </w:p>
    <w:p>
      <w:pPr>
        <w:pStyle w:val="ListBullet"/>
        <w:spacing w:after="80"/>
      </w:pPr>
      <w:r>
        <w:rPr>
          <w:rFonts w:ascii="Avenir Next LT Pro" w:hAnsi="Avenir Next LT Pro"/>
          <w:b w:val="0"/>
          <w:i w:val="0"/>
          <w:color w:val="1C4076"/>
          <w:sz w:val="22"/>
        </w:rPr>
        <w:t>Decisions regarding large investments.</w:t>
      </w:r>
    </w:p>
    <w:p>
      <w:pPr>
        <w:pStyle w:val="ListBullet"/>
        <w:spacing w:after="80"/>
      </w:pPr>
      <w:r>
        <w:rPr>
          <w:rFonts w:ascii="Avenir Next LT Pro" w:hAnsi="Avenir Next LT Pro"/>
          <w:b w:val="0"/>
          <w:i w:val="0"/>
          <w:color w:val="1C4076"/>
          <w:sz w:val="22"/>
        </w:rPr>
        <w:t>Entering into or termination of major cooperation agreements, including agreements regarding joint ventures.</w:t>
      </w:r>
    </w:p>
    <w:p>
      <w:pPr>
        <w:pStyle w:val="ListBullet"/>
        <w:spacing w:after="80"/>
      </w:pPr>
      <w:r>
        <w:rPr>
          <w:rFonts w:ascii="Avenir Next LT Pro" w:hAnsi="Avenir Next LT Pro"/>
          <w:b w:val="0"/>
          <w:i w:val="0"/>
          <w:color w:val="1C4076"/>
          <w:sz w:val="22"/>
        </w:rPr>
        <w:t>Significant changes in earnings or liquidity or other material matters that have or may have an effect thereon.</w:t>
      </w:r>
    </w:p>
    <w:p>
      <w:pPr>
        <w:pStyle w:val="ListBullet"/>
        <w:spacing w:after="80"/>
      </w:pPr>
      <w:r>
        <w:rPr>
          <w:rFonts w:ascii="Avenir Next LT Pro" w:hAnsi="Avenir Next LT Pro"/>
          <w:b w:val="0"/>
          <w:i w:val="0"/>
          <w:color w:val="1C4076"/>
          <w:sz w:val="22"/>
        </w:rPr>
        <w:t>Market fluctuations of special significance for the Company.</w:t>
      </w:r>
    </w:p>
    <w:p>
      <w:pPr>
        <w:pStyle w:val="ListBullet"/>
        <w:spacing w:after="80"/>
      </w:pPr>
      <w:r>
        <w:rPr>
          <w:rFonts w:ascii="Avenir Next LT Pro" w:hAnsi="Avenir Next LT Pro"/>
          <w:b w:val="0"/>
          <w:i w:val="0"/>
          <w:color w:val="1C4076"/>
          <w:sz w:val="22"/>
        </w:rPr>
        <w:t>Transfer of a major shareholding in the Company or the intention to acquire or sell among major shareholders, which the Board of Directors or the Executive Management are involved in or have knowledge of.</w:t>
      </w:r>
    </w:p>
    <w:p>
      <w:pPr>
        <w:pStyle w:val="ListBullet"/>
        <w:spacing w:after="80"/>
      </w:pPr>
      <w:r>
        <w:rPr>
          <w:rFonts w:ascii="Avenir Next LT Pro" w:hAnsi="Avenir Next LT Pro"/>
          <w:b w:val="0"/>
          <w:i w:val="0"/>
          <w:color w:val="1C4076"/>
          <w:sz w:val="22"/>
        </w:rPr>
        <w:t>Submission of acquisition offers or public takeover offers.</w:t>
      </w:r>
    </w:p>
    <w:p>
      <w:pPr>
        <w:pStyle w:val="ListBullet"/>
        <w:spacing w:after="80"/>
      </w:pPr>
      <w:r>
        <w:rPr>
          <w:rFonts w:ascii="Avenir Next LT Pro" w:hAnsi="Avenir Next LT Pro"/>
          <w:b w:val="0"/>
          <w:i w:val="0"/>
          <w:color w:val="1C4076"/>
          <w:sz w:val="22"/>
        </w:rPr>
        <w:t>Initiation or settlement of material law suits initiated by or against the Company or corresponding material claims.</w:t>
      </w:r>
    </w:p>
    <w:p>
      <w:pPr>
        <w:pStyle w:val="ListBullet"/>
        <w:spacing w:after="80"/>
      </w:pPr>
      <w:r>
        <w:rPr>
          <w:rFonts w:ascii="Avenir Next LT Pro" w:hAnsi="Avenir Next LT Pro"/>
          <w:b w:val="0"/>
          <w:i w:val="0"/>
          <w:color w:val="1C4076"/>
          <w:sz w:val="22"/>
        </w:rPr>
        <w:t>Decisions of material significance made by public authorities or courts.</w:t>
      </w:r>
    </w:p>
    <w:p>
      <w:pPr>
        <w:pStyle w:val="ListBullet"/>
        <w:spacing w:after="80"/>
      </w:pPr>
      <w:r>
        <w:rPr>
          <w:rFonts w:ascii="Avenir Next LT Pro" w:hAnsi="Avenir Next LT Pro"/>
          <w:b w:val="0"/>
          <w:i w:val="0"/>
          <w:color w:val="1C4076"/>
          <w:sz w:val="22"/>
        </w:rPr>
        <w:t>Proposals for capital decreases or capital increases as well as any other material proposed amendments of the articles of association.</w:t>
      </w:r>
    </w:p>
    <w:p>
      <w:pPr>
        <w:pStyle w:val="ListBullet"/>
        <w:spacing w:after="80"/>
      </w:pPr>
      <w:r>
        <w:rPr>
          <w:rFonts w:ascii="Avenir Next LT Pro" w:hAnsi="Avenir Next LT Pro"/>
          <w:b w:val="0"/>
          <w:i w:val="0"/>
          <w:color w:val="1C4076"/>
          <w:sz w:val="22"/>
        </w:rPr>
        <w:t>Proposals for extraordinary dividend payments as well as the introduction of share buy-back programs.</w:t>
      </w:r>
    </w:p>
    <w:p>
      <w:pPr>
        <w:pStyle w:val="ListBullet"/>
        <w:spacing w:after="80"/>
      </w:pPr>
      <w:r>
        <w:rPr>
          <w:rFonts w:ascii="Avenir Next LT Pro" w:hAnsi="Avenir Next LT Pro"/>
          <w:b w:val="0"/>
          <w:i w:val="0"/>
          <w:color w:val="1C4076"/>
          <w:sz w:val="22"/>
        </w:rPr>
        <w:t>Material organisational or structural changes to the Company, including, but not limited to, mergers, demergers, dissolution or reconstruction arrangements or other significant changes to the business or capital structures including suspension of payments, bankruptcy or liquidation.</w:t>
      </w:r>
    </w:p>
    <w:p>
      <w:pPr>
        <w:pStyle w:val="ListBullet"/>
        <w:spacing w:after="80"/>
      </w:pPr>
      <w:r>
        <w:rPr>
          <w:rFonts w:ascii="Avenir Next LT Pro" w:hAnsi="Avenir Next LT Pro"/>
          <w:b w:val="0"/>
          <w:i w:val="0"/>
          <w:color w:val="1C4076"/>
          <w:sz w:val="22"/>
        </w:rPr>
        <w:t>Shareholders’ agreements which the Company obtains knowledge of concerning application of voting rights or the transferability of the Shares or related Financial Instruments.</w:t>
      </w:r>
    </w:p>
    <w:p>
      <w:pPr>
        <w:pStyle w:val="ListBullet"/>
        <w:spacing w:after="80"/>
      </w:pPr>
      <w:r>
        <w:rPr>
          <w:rFonts w:ascii="Avenir Next LT Pro" w:hAnsi="Avenir Next LT Pro"/>
          <w:b w:val="0"/>
          <w:i w:val="0"/>
          <w:color w:val="1C4076"/>
          <w:sz w:val="22"/>
        </w:rPr>
        <w:t>Information regarding similar material circumstances in material subsidiaries.</w:t>
      </w:r>
    </w:p>
    <w:p>
      <w:pPr>
        <w:spacing w:after="200"/>
        <w:jc w:val="both"/>
      </w:pPr>
      <w:r>
        <w:rPr>
          <w:rFonts w:ascii="Avenir Next LT Pro" w:hAnsi="Avenir Next LT Pro"/>
          <w:b w:val="0"/>
          <w:i w:val="0"/>
          <w:color w:val="1C4076"/>
          <w:sz w:val="22"/>
        </w:rPr>
        <w:t>The above items are not listed in any particular order, and they are only to be considered as guiding examples, and the list is not exhaustive. Knowledge of other circumstances may also constitute Inside Information, if such information is specific and, if such information is disclosed, would be likely to have a significant effect on the prices of Financial Instruments.</w:t>
      </w:r>
    </w:p>
    <w:sectPr w:rsidR="00FC693F" w:rsidRPr="0006063C" w:rsidSect="00034616">
      <w:headerReference w:type="default" r:id="rId10"/>
      <w:footerReference w:type="default" r:id="rId11"/>
      <w:pgSz w:w="11906" w:h="16838"/>
      <w:pgMar w:top="2920" w:right="850" w:bottom="1134" w:left="850" w:header="680" w:footer="40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6" w:color="C3E4EF"/>
      </w:pBdr>
    </w:pPr>
    <w:r>
      <w:rPr>
        <w:rFonts w:ascii="Avenir Next LT Pro" w:hAnsi="Avenir Next LT Pro"/>
        <w:b w:val="0"/>
        <w:i w:val="0"/>
        <w:color w:val="1C4076"/>
        <w:sz w:val="16"/>
      </w:rPr>
      <w:t>BioMar Group A/S · Kalkværksvej 16, 15. · 8000 Aarhus C · Denmark · Tel +45 86 20 49 70 · www.biomar.com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venir Next LT Pro" w:hAnsi="Avenir Next LT Pro"/>
        <w:b w:val="0"/>
        <w:i w:val="0"/>
        <w:color w:val="1C4076"/>
        <w:sz w:val="16"/>
      </w:rPr>
      <w:t>BioMar Group</w:t>
    </w:r>
    <w:r>
      <w:br/>
    </w:r>
    <w:r>
      <w:rPr>
        <w:rFonts w:ascii="Avenir Next LT Pro" w:hAnsi="Avenir Next LT Pro"/>
        <w:b w:val="0"/>
        <w:i w:val="0"/>
        <w:color w:val="1C4076"/>
        <w:sz w:val="16"/>
      </w:rPr>
      <w:t>Internal Rules for Compliance with Disclosure Obligations</w:t>
    </w:r>
    <w:r>
      <w:drawing>
        <wp:anchor xmlns:a="http://schemas.openxmlformats.org/drawingml/2006/main" xmlns:pic="http://schemas.openxmlformats.org/drawingml/2006/picture" behindDoc="0" distT="0" distB="0" distL="0" distR="0" simplePos="0" locked="0" layoutInCell="1" allowOverlap="1" relativeHeight="2">
          <wp:simplePos x="0" y="0"/>
          <wp:positionH relativeFrom="page">
            <wp:posOffset>5621985</wp:posOffset>
          </wp:positionH>
          <wp:positionV relativeFrom="page">
            <wp:posOffset>212090</wp:posOffset>
          </wp:positionV>
          <wp:extent cx="1727200" cy="1654810"/>
          <wp:wrapNone/>
          <wp:docPr id="201" name="BioMar logo"/>
          <a:graphic>
            <a:graphicData uri="http://schemas.openxmlformats.org/drawingml/2006/picture">
              <pic:pic>
                <pic:nvPicPr>
                  <pic:cNvPr id="0" name="logo.png"/>
                  <pic:cNvPicPr/>
                </pic:nvPicPr>
                <pic:blipFill>
                  <a:blip r:embed="rId1"/>
                  <a:stretch>
                    <a:fillRect/>
                  </a:stretch>
                </pic:blipFill>
                <pic:spPr>
                  <a:xfrm>
                    <a:off x="0" y="0"/>
                    <a:ext cx="1727200" cy="165481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venir Next LT Pro" w:hAnsi="Avenir Next LT Pro"/>
      <w:color w:val="1C407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