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ubjgi535.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Establishment and purpose</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Executive Management of BioMar Group A/S, CVR no. 38 57 06 17 (the “Company” and together with its subsidiaries the “Group”) has established a disclosure committee (the “Disclosure Committee”).</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w:t>
      </w:r>
    </w:p>
    <w:p>
      <w:pPr>
        <w:tabs>
          <w:tab w:pos="708" w:val="left"/>
        </w:tabs>
        <w:spacing w:after="200"/>
        <w:ind w:left="708" w:hanging="708"/>
        <w:jc w:val="both"/>
      </w:pPr>
      <w:r>
        <w:rPr>
          <w:rFonts w:ascii="Avenir Next LT Pro" w:hAnsi="Avenir Next LT Pro"/>
          <w:b w:val="0"/>
          <w:i w:val="0"/>
          <w:color w:val="1C4076"/>
          <w:sz w:val="22"/>
        </w:rPr>
        <w:t>1.3</w:t>
        <w:tab/>
      </w:r>
      <w:r>
        <w:rPr>
          <w:rFonts w:ascii="Avenir Next LT Pro" w:hAnsi="Avenir Next LT Pro"/>
          <w:b w:val="0"/>
          <w:i w:val="0"/>
          <w:color w:val="1C4076"/>
          <w:sz w:val="22"/>
        </w:rPr>
        <w:t>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w:t>
      </w:r>
    </w:p>
    <w:p>
      <w:pPr>
        <w:tabs>
          <w:tab w:pos="708" w:val="left"/>
        </w:tabs>
        <w:spacing w:after="200"/>
        <w:ind w:left="708" w:hanging="708"/>
        <w:jc w:val="both"/>
      </w:pPr>
      <w:r>
        <w:rPr>
          <w:rFonts w:ascii="Avenir Next LT Pro" w:hAnsi="Avenir Next LT Pro"/>
          <w:b w:val="0"/>
          <w:i w:val="0"/>
          <w:color w:val="1C4076"/>
          <w:sz w:val="22"/>
        </w:rPr>
        <w:t>1.4</w:t>
        <w:tab/>
      </w:r>
      <w:r>
        <w:rPr>
          <w:rFonts w:ascii="Avenir Next LT Pro" w:hAnsi="Avenir Next LT Pro"/>
          <w:b w:val="0"/>
          <w:i w:val="0"/>
          <w:color w:val="1C4076"/>
          <w:sz w:val="22"/>
        </w:rPr>
        <w:t xml:space="preserve">Inside Information is defined in </w:t>
      </w:r>
      <w:r>
        <w:rPr>
          <w:rFonts w:ascii="Avenir Next LT Pro" w:hAnsi="Avenir Next LT Pro"/>
          <w:b/>
          <w:i w:val="0"/>
          <w:color w:val="1C4076"/>
          <w:sz w:val="22"/>
        </w:rPr>
        <w:t>Appendix B</w:t>
      </w:r>
      <w:r>
        <w:rPr>
          <w:rFonts w:ascii="Avenir Next LT Pro" w:hAnsi="Avenir Next LT Pro"/>
          <w:b w:val="0"/>
          <w:i w:val="0"/>
          <w:color w:val="1C4076"/>
          <w:sz w:val="22"/>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pPr>
        <w:tabs>
          <w:tab w:pos="708" w:val="left"/>
        </w:tabs>
        <w:spacing w:after="200"/>
        <w:ind w:left="708" w:hanging="708"/>
        <w:jc w:val="both"/>
      </w:pPr>
      <w:r>
        <w:rPr>
          <w:rFonts w:ascii="Avenir Next LT Pro" w:hAnsi="Avenir Next LT Pro"/>
          <w:b w:val="0"/>
          <w:i w:val="0"/>
          <w:color w:val="1C4076"/>
          <w:sz w:val="22"/>
        </w:rPr>
        <w:t>1.5</w:t>
        <w:tab/>
      </w:r>
      <w:r>
        <w:rPr>
          <w:rFonts w:ascii="Avenir Next LT Pro" w:hAnsi="Avenir Next LT Pro"/>
          <w:b w:val="0"/>
          <w:i w:val="0"/>
          <w:color w:val="1C4076"/>
          <w:sz w:val="22"/>
        </w:rPr>
        <w:t xml:space="preserve">In addition to the general obligation to disclose Inside Information, the Company is subject to certain specific disclosure obligations that require the Company to inform the market as further set out in </w:t>
      </w:r>
      <w:r>
        <w:rPr>
          <w:rFonts w:ascii="Avenir Next LT Pro" w:hAnsi="Avenir Next LT Pro"/>
          <w:b/>
          <w:i w:val="0"/>
          <w:color w:val="1C4076"/>
          <w:sz w:val="22"/>
        </w:rPr>
        <w:t>Schedule 8.1</w:t>
      </w:r>
      <w:r>
        <w:rPr>
          <w:rFonts w:ascii="Avenir Next LT Pro" w:hAnsi="Avenir Next LT Pro"/>
          <w:b w:val="0"/>
          <w:i w:val="0"/>
          <w:color w:val="1C4076"/>
          <w:sz w:val="22"/>
        </w:rPr>
        <w:t xml:space="preserve"> of the Company’s Internal Rules for compliance with its disclosure obligations.  </w:t>
      </w:r>
    </w:p>
    <w:p>
      <w:pPr>
        <w:keepNext/>
        <w:tabs>
          <w:tab w:pos="708" w:val="left"/>
        </w:tabs>
        <w:spacing w:before="260" w:after="160"/>
        <w:ind w:left="708" w:hanging="708"/>
      </w:pPr>
      <w:r>
        <w:rPr>
          <w:rFonts w:ascii="Avenir Next LT Pro" w:hAnsi="Avenir Next LT Pro"/>
          <w:b/>
          <w:i w:val="0"/>
          <w:color w:val="1C4076"/>
          <w:sz w:val="28"/>
        </w:rPr>
        <w:t>2</w:t>
        <w:tab/>
        <w:t>Members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Disclosure Committee shall consist of at least three members. The Disclosure Committee currently consists of the CEO, the CFO, the Chief Legal Officer, VP Strategy, Business Development &amp; M&amp;A and VP People, Purpose &amp; Communication.</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The Chief Legal Officer shall act as Chair of the Disclosure Committee.</w:t>
      </w:r>
    </w:p>
    <w:p>
      <w:pPr>
        <w:keepNext/>
        <w:tabs>
          <w:tab w:pos="708" w:val="left"/>
        </w:tabs>
        <w:spacing w:before="260" w:after="160"/>
        <w:ind w:left="708" w:hanging="708"/>
      </w:pPr>
      <w:r>
        <w:rPr>
          <w:rFonts w:ascii="Avenir Next LT Pro" w:hAnsi="Avenir Next LT Pro"/>
          <w:b/>
          <w:i w:val="0"/>
          <w:color w:val="1C4076"/>
          <w:sz w:val="28"/>
        </w:rPr>
        <w:t>3</w:t>
        <w:tab/>
        <w:t>Assignments</w:t>
      </w:r>
    </w:p>
    <w:p>
      <w:pPr>
        <w:spacing w:after="200"/>
        <w:ind w:left="708" w:firstLine="0"/>
        <w:jc w:val="both"/>
      </w:pPr>
      <w:r>
        <w:rPr>
          <w:rFonts w:ascii="Avenir Next LT Pro" w:hAnsi="Avenir Next LT Pro"/>
          <w:b w:val="0"/>
          <w:i w:val="0"/>
          <w:color w:val="1C4076"/>
          <w:sz w:val="22"/>
        </w:rPr>
        <w:t>The Disclosure Committee has the following assignments:</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Identify Inside Information</w:t>
      </w:r>
    </w:p>
    <w:p>
      <w:pPr>
        <w:tabs>
          <w:tab w:pos="1416" w:val="left"/>
        </w:tabs>
        <w:spacing w:after="80"/>
        <w:ind w:left="1416" w:hanging="708"/>
      </w:pPr>
      <w:r>
        <w:rPr>
          <w:rFonts w:ascii="Avenir Next LT Pro" w:hAnsi="Avenir Next LT Pro"/>
          <w:b w:val="0"/>
          <w:i w:val="0"/>
          <w:color w:val="1C4076"/>
          <w:sz w:val="22"/>
        </w:rPr>
        <w:t>(a)</w:t>
        <w:tab/>
        <w:t>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w:t>
      </w:r>
    </w:p>
    <w:p>
      <w:pPr>
        <w:tabs>
          <w:tab w:pos="1416" w:val="left"/>
        </w:tabs>
        <w:spacing w:after="80"/>
        <w:ind w:left="1416" w:hanging="708"/>
      </w:pPr>
      <w:r>
        <w:rPr>
          <w:rFonts w:ascii="Avenir Next LT Pro" w:hAnsi="Avenir Next LT Pro"/>
          <w:b w:val="0"/>
          <w:i w:val="0"/>
          <w:color w:val="1C4076"/>
          <w:sz w:val="22"/>
        </w:rPr>
        <w:t>(b)</w:t>
        <w:tab/>
        <w:t>Ensure establishment of confidentiality lists for events or circumstances which are likely to become Inside Information and that an Ad-Hoc Insider List is set up when it is determined that the matter constitutes Inside Information. For the avoidance of doubt, an Ad-Hoc Insider List must always be set up even in the event that only persons on the Permanent Insider List are in possession of the specific piece of Inside Information. If only persons included on the Permanent Insider List has access to the Inside Information, the Ad-Hoc Insider List can be left blank except for the description of the specific piece of Inside Information to which the Ad-Hoc Insider List relates.</w:t>
      </w:r>
    </w:p>
    <w:p>
      <w:pPr>
        <w:tabs>
          <w:tab w:pos="1416" w:val="left"/>
        </w:tabs>
        <w:spacing w:after="80"/>
        <w:ind w:left="1416" w:hanging="708"/>
      </w:pPr>
      <w:r>
        <w:rPr>
          <w:rFonts w:ascii="Avenir Next LT Pro" w:hAnsi="Avenir Next LT Pro"/>
          <w:b w:val="0"/>
          <w:i w:val="0"/>
          <w:color w:val="1C4076"/>
          <w:sz w:val="22"/>
        </w:rPr>
        <w:t>(c)</w:t>
        <w:tab/>
        <w:t>Monitor and review developments of material events and circumstances to assess whether the matter constitutes Inside Information.</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Provide recommendations on immediate disclosure or delay of disclosure of Inside Information</w:t>
      </w:r>
    </w:p>
    <w:p>
      <w:pPr>
        <w:tabs>
          <w:tab w:pos="1416" w:val="left"/>
        </w:tabs>
        <w:spacing w:after="80"/>
        <w:ind w:left="1416" w:hanging="708"/>
      </w:pPr>
      <w:r>
        <w:rPr>
          <w:rFonts w:ascii="Avenir Next LT Pro" w:hAnsi="Avenir Next LT Pro"/>
          <w:b w:val="0"/>
          <w:i w:val="0"/>
          <w:color w:val="1C4076"/>
          <w:sz w:val="22"/>
        </w:rPr>
        <w:t>(a)</w:t>
        <w:tab/>
        <w:t>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3.3 below.</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Process for delay of disclosure of Inside Information</w:t>
      </w:r>
    </w:p>
    <w:p>
      <w:pPr>
        <w:tabs>
          <w:tab w:pos="1416" w:val="left"/>
        </w:tabs>
        <w:spacing w:after="80"/>
        <w:ind w:left="1416" w:hanging="708"/>
      </w:pPr>
      <w:r>
        <w:rPr>
          <w:rFonts w:ascii="Avenir Next LT Pro" w:hAnsi="Avenir Next LT Pro"/>
          <w:b w:val="0"/>
          <w:i w:val="0"/>
          <w:color w:val="1C4076"/>
          <w:sz w:val="22"/>
        </w:rPr>
        <w:t>(a)</w:t>
        <w:tab/>
        <w:t>Applicable from 5 June 2026, consider whether the Inside Information is deemed part of a protracted process, in which case disclosure may not be triggered until the final event or circumstance has occurred. In such case the rules on delay of disclosure do not apply, however rules on insider lists, insider trading and leakage statements continue to apply.</w:t>
      </w:r>
    </w:p>
    <w:p>
      <w:pPr>
        <w:tabs>
          <w:tab w:pos="1416" w:val="left"/>
        </w:tabs>
        <w:spacing w:after="80"/>
        <w:ind w:left="1416" w:hanging="708"/>
      </w:pPr>
      <w:r>
        <w:rPr>
          <w:rFonts w:ascii="Avenir Next LT Pro" w:hAnsi="Avenir Next LT Pro"/>
          <w:b w:val="0"/>
          <w:i w:val="0"/>
          <w:color w:val="1C4076"/>
          <w:sz w:val="22"/>
        </w:rPr>
        <w:t>(b)</w:t>
        <w:tab/>
        <w:t>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w:t>
      </w:r>
    </w:p>
    <w:p>
      <w:pPr>
        <w:tabs>
          <w:tab w:pos="1416" w:val="left"/>
        </w:tabs>
        <w:spacing w:after="80"/>
        <w:ind w:left="1416" w:hanging="708"/>
      </w:pPr>
      <w:r>
        <w:rPr>
          <w:rFonts w:ascii="Avenir Next LT Pro" w:hAnsi="Avenir Next LT Pro"/>
          <w:b w:val="0"/>
          <w:i w:val="0"/>
          <w:color w:val="1C4076"/>
          <w:sz w:val="22"/>
        </w:rPr>
        <w:t>(c)</w:t>
        <w:tab/>
        <w:t>Consider and record the date and time when the information is considered Inside Information.</w:t>
      </w:r>
    </w:p>
    <w:p>
      <w:pPr>
        <w:tabs>
          <w:tab w:pos="1416" w:val="left"/>
        </w:tabs>
        <w:spacing w:after="80"/>
        <w:ind w:left="1416" w:hanging="708"/>
      </w:pPr>
      <w:r>
        <w:rPr>
          <w:rFonts w:ascii="Avenir Next LT Pro" w:hAnsi="Avenir Next LT Pro"/>
          <w:b w:val="0"/>
          <w:i w:val="0"/>
          <w:color w:val="1C4076"/>
          <w:sz w:val="22"/>
        </w:rPr>
        <w:t>(d)</w:t>
        <w:tab/>
        <w:t>Consider when the Inside Information is likely to be disclosed.</w:t>
      </w:r>
    </w:p>
    <w:p>
      <w:pPr>
        <w:tabs>
          <w:tab w:pos="1416" w:val="left"/>
        </w:tabs>
        <w:spacing w:after="80"/>
        <w:ind w:left="1416" w:hanging="708"/>
      </w:pPr>
      <w:r>
        <w:rPr>
          <w:rFonts w:ascii="Avenir Next LT Pro" w:hAnsi="Avenir Next LT Pro"/>
          <w:b w:val="0"/>
          <w:i w:val="0"/>
          <w:color w:val="1C4076"/>
          <w:sz w:val="22"/>
        </w:rPr>
        <w:t>(e)</w:t>
        <w:tab/>
        <w:t>Prepare and continuously update the Log set out in Schedule 2, and ensure ongoing monitoring of the conditions for delay, including instructions of relevant employees to provide relevant updates to the Disclosure Committee.</w:t>
      </w:r>
    </w:p>
    <w:p>
      <w:pPr>
        <w:tabs>
          <w:tab w:pos="1416" w:val="left"/>
        </w:tabs>
        <w:spacing w:after="80"/>
        <w:ind w:left="1416" w:hanging="708"/>
      </w:pPr>
      <w:r>
        <w:rPr>
          <w:rFonts w:ascii="Avenir Next LT Pro" w:hAnsi="Avenir Next LT Pro"/>
          <w:b w:val="0"/>
          <w:i w:val="0"/>
          <w:color w:val="1C4076"/>
          <w:sz w:val="22"/>
        </w:rPr>
        <w:t>(f)</w:t>
        <w:tab/>
        <w:t>Ensure that a draft leakage announcement is prepared, if relevant.</w:t>
      </w:r>
    </w:p>
    <w:p>
      <w:pPr>
        <w:tabs>
          <w:tab w:pos="1416" w:val="left"/>
        </w:tabs>
        <w:spacing w:after="80"/>
        <w:ind w:left="1416" w:hanging="708"/>
      </w:pPr>
      <w:r>
        <w:rPr>
          <w:rFonts w:ascii="Avenir Next LT Pro" w:hAnsi="Avenir Next LT Pro"/>
          <w:b w:val="0"/>
          <w:i w:val="0"/>
          <w:color w:val="1C4076"/>
          <w:sz w:val="22"/>
        </w:rPr>
        <w:t>(g)</w:t>
        <w:tab/>
        <w:t>Assist on disclosure of the leakage announcement or full announcement in the event of a leakage of Inside Information of which disclosure has been delayed or a sufficiently accurate market rumour regarding such Inside Information.</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Keep majority shareholder informed of Inside Information, including when such Inside Information is delayed</w:t>
      </w:r>
    </w:p>
    <w:p>
      <w:pPr>
        <w:tabs>
          <w:tab w:pos="1416" w:val="left"/>
        </w:tabs>
        <w:spacing w:after="80"/>
        <w:ind w:left="1416" w:hanging="708"/>
      </w:pPr>
      <w:r>
        <w:rPr>
          <w:rFonts w:ascii="Avenir Next LT Pro" w:hAnsi="Avenir Next LT Pro"/>
          <w:b w:val="0"/>
          <w:i w:val="0"/>
          <w:color w:val="1C4076"/>
          <w:sz w:val="22"/>
        </w:rPr>
        <w:t>(a)</w:t>
        <w:tab/>
        <w:t>For as long as the Company has a controlling shareholder with a separate listing, it is likely that any Inside Information within the Company will also constitute Inside Information within the controlling shareholder. To the extent possible and legally permissible, the Company shall seek to coordinate with the controlling shareholder in terms of release of company announcements containing Inside Information, or, as a minimum, inform the controlling shareholder of the Company’s release of Inside Information prior to such release.</w:t>
      </w:r>
    </w:p>
    <w:p>
      <w:pPr>
        <w:tabs>
          <w:tab w:pos="708" w:val="left"/>
        </w:tabs>
        <w:spacing w:after="20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Process for company announcements and notification of delay</w:t>
      </w:r>
    </w:p>
    <w:p>
      <w:pPr>
        <w:tabs>
          <w:tab w:pos="1416" w:val="left"/>
        </w:tabs>
        <w:spacing w:after="80"/>
        <w:ind w:left="1416" w:hanging="708"/>
      </w:pPr>
      <w:r>
        <w:rPr>
          <w:rFonts w:ascii="Avenir Next LT Pro" w:hAnsi="Avenir Next LT Pro"/>
          <w:b w:val="0"/>
          <w:i w:val="0"/>
          <w:color w:val="1C4076"/>
          <w:sz w:val="22"/>
        </w:rPr>
        <w:t>(a)</w:t>
        <w:tab/>
        <w:t>When disclosure is required immediately, ensure that a company announcement is produced as soon as possible and that the draft company announcement is reviewed by the Disclosure Committee, the Executive Management and other relevant individuals, including the controlling shareholder, as well as, if time allows, the Chair of the Board of Directors and/or the Board of Directors.</w:t>
      </w:r>
    </w:p>
    <w:p>
      <w:pPr>
        <w:tabs>
          <w:tab w:pos="1416" w:val="left"/>
        </w:tabs>
        <w:spacing w:after="80"/>
        <w:ind w:left="1416" w:hanging="708"/>
      </w:pPr>
      <w:r>
        <w:rPr>
          <w:rFonts w:ascii="Avenir Next LT Pro" w:hAnsi="Avenir Next LT Pro"/>
          <w:b w:val="0"/>
          <w:i w:val="0"/>
          <w:color w:val="1C4076"/>
          <w:sz w:val="22"/>
        </w:rPr>
        <w:t>(b)</w:t>
        <w:tab/>
        <w:t>The Chief Legal Officer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pPr>
        <w:tabs>
          <w:tab w:pos="1416" w:val="left"/>
        </w:tabs>
        <w:spacing w:after="80"/>
        <w:ind w:left="1416" w:hanging="708"/>
      </w:pPr>
      <w:r>
        <w:rPr>
          <w:rFonts w:ascii="Avenir Next LT Pro" w:hAnsi="Avenir Next LT Pro"/>
          <w:b w:val="0"/>
          <w:i w:val="0"/>
          <w:color w:val="1C4076"/>
          <w:sz w:val="22"/>
        </w:rPr>
        <w:t>(c)</w:t>
        <w:tab/>
        <w:t>Notify the Danish Financial Supervisory Authority through the Officially Appointed Mechanism (“OAM”) if the disclosure of Inside Information has been delayed using the template notification form and procedure set out in Schedule 3.</w:t>
      </w:r>
    </w:p>
    <w:p>
      <w:pPr>
        <w:tabs>
          <w:tab w:pos="1416" w:val="left"/>
        </w:tabs>
        <w:spacing w:after="80"/>
        <w:ind w:left="1416" w:hanging="708"/>
      </w:pPr>
      <w:r>
        <w:rPr>
          <w:rFonts w:ascii="Avenir Next LT Pro" w:hAnsi="Avenir Next LT Pro"/>
          <w:b w:val="0"/>
          <w:i w:val="0"/>
          <w:color w:val="1C4076"/>
          <w:sz w:val="22"/>
        </w:rPr>
        <w:t>(d)</w:t>
        <w:tab/>
        <w:t>Prepare an explanation on the fulfilment of the conditions for delay of disclosure in accordance with the Log.</w:t>
      </w:r>
    </w:p>
    <w:p>
      <w:pPr>
        <w:tabs>
          <w:tab w:pos="1416" w:val="left"/>
        </w:tabs>
        <w:spacing w:after="80"/>
        <w:ind w:left="1416" w:hanging="708"/>
      </w:pPr>
      <w:r>
        <w:rPr>
          <w:rFonts w:ascii="Avenir Next LT Pro" w:hAnsi="Avenir Next LT Pro"/>
          <w:b w:val="0"/>
          <w:i w:val="0"/>
          <w:color w:val="1C4076"/>
          <w:sz w:val="22"/>
        </w:rPr>
        <w:t>(e)</w:t>
        <w:tab/>
        <w:t>Submit the explanation to the Danish Financial Supervisory Authority, if requested, following approval of the explanation by the Executive Management and, if relevant, the Chair of the Board of Directors.</w:t>
      </w:r>
    </w:p>
    <w:p>
      <w:pPr>
        <w:tabs>
          <w:tab w:pos="708" w:val="left"/>
        </w:tabs>
        <w:spacing w:after="200"/>
        <w:ind w:left="708" w:hanging="708"/>
        <w:jc w:val="both"/>
      </w:pPr>
      <w:r>
        <w:rPr>
          <w:rFonts w:ascii="Avenir Next LT Pro" w:hAnsi="Avenir Next LT Pro"/>
          <w:b w:val="0"/>
          <w:i w:val="0"/>
          <w:color w:val="1C4076"/>
          <w:sz w:val="22"/>
        </w:rPr>
        <w:t>3.6</w:t>
        <w:tab/>
      </w:r>
      <w:r>
        <w:rPr>
          <w:rFonts w:ascii="Avenir Next LT Pro" w:hAnsi="Avenir Next LT Pro"/>
          <w:b w:val="0"/>
          <w:i w:val="0"/>
          <w:color w:val="1C4076"/>
          <w:sz w:val="22"/>
        </w:rPr>
        <w:t>Process in relation to financial results and outlook</w:t>
      </w:r>
    </w:p>
    <w:p>
      <w:pPr>
        <w:tabs>
          <w:tab w:pos="1416" w:val="left"/>
        </w:tabs>
        <w:spacing w:after="80"/>
        <w:ind w:left="1416" w:hanging="708"/>
      </w:pPr>
      <w:r>
        <w:rPr>
          <w:rFonts w:ascii="Avenir Next LT Pro" w:hAnsi="Avenir Next LT Pro"/>
          <w:b w:val="0"/>
          <w:i w:val="0"/>
          <w:color w:val="1C4076"/>
          <w:sz w:val="22"/>
        </w:rPr>
        <w:t>(a)</w:t>
        <w:tab/>
        <w:t>During the process of the preparation of the financial results, including quarterly reports, assess whether the Company’s financial results constitute Inside Information and in the affirmative consider whether the Company is able to delay the disclosure of Inside Information or if an announcement is required earlier than scheduled in the Company’s financial calendar.</w:t>
      </w:r>
    </w:p>
    <w:p>
      <w:pPr>
        <w:tabs>
          <w:tab w:pos="1416" w:val="left"/>
        </w:tabs>
        <w:spacing w:after="80"/>
        <w:ind w:left="1416" w:hanging="708"/>
      </w:pPr>
      <w:r>
        <w:rPr>
          <w:rFonts w:ascii="Avenir Next LT Pro" w:hAnsi="Avenir Next LT Pro"/>
          <w:b w:val="0"/>
          <w:i w:val="0"/>
          <w:color w:val="1C4076"/>
          <w:sz w:val="22"/>
        </w:rPr>
        <w:t>(b)</w:t>
        <w:tab/>
        <w:t>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w:t>
      </w:r>
    </w:p>
    <w:p>
      <w:pPr>
        <w:tabs>
          <w:tab w:pos="708" w:val="left"/>
        </w:tabs>
        <w:spacing w:after="200"/>
        <w:ind w:left="708" w:hanging="708"/>
        <w:jc w:val="both"/>
      </w:pPr>
      <w:r>
        <w:rPr>
          <w:rFonts w:ascii="Avenir Next LT Pro" w:hAnsi="Avenir Next LT Pro"/>
          <w:b w:val="0"/>
          <w:i w:val="0"/>
          <w:color w:val="1C4076"/>
          <w:sz w:val="22"/>
        </w:rPr>
        <w:t>3.7</w:t>
        <w:tab/>
      </w:r>
      <w:r>
        <w:rPr>
          <w:rFonts w:ascii="Avenir Next LT Pro" w:hAnsi="Avenir Next LT Pro"/>
          <w:b w:val="0"/>
          <w:i w:val="0"/>
          <w:color w:val="1C4076"/>
          <w:sz w:val="22"/>
        </w:rPr>
        <w:t>The Disclosure Committee may delegate specific administrative tasks to designated employees of the Company.</w:t>
      </w:r>
    </w:p>
    <w:p>
      <w:pPr>
        <w:tabs>
          <w:tab w:pos="708" w:val="left"/>
        </w:tabs>
        <w:spacing w:after="200"/>
        <w:ind w:left="708" w:hanging="708"/>
        <w:jc w:val="both"/>
      </w:pPr>
      <w:r>
        <w:rPr>
          <w:rFonts w:ascii="Avenir Next LT Pro" w:hAnsi="Avenir Next LT Pro"/>
          <w:b w:val="0"/>
          <w:i w:val="0"/>
          <w:color w:val="1C4076"/>
          <w:sz w:val="22"/>
        </w:rPr>
        <w:t>3.8</w:t>
        <w:tab/>
      </w:r>
      <w:r>
        <w:rPr>
          <w:rFonts w:ascii="Avenir Next LT Pro" w:hAnsi="Avenir Next LT Pro"/>
          <w:b w:val="0"/>
          <w:i w:val="0"/>
          <w:color w:val="1C4076"/>
          <w:sz w:val="22"/>
        </w:rPr>
        <w:t>The Disclosure Committee may engage external advisors to assist the Disclosure Committee. The costs of such external advisors shall be paid by the Company.</w:t>
      </w:r>
    </w:p>
    <w:p>
      <w:pPr>
        <w:tabs>
          <w:tab w:pos="708" w:val="left"/>
        </w:tabs>
        <w:spacing w:after="200"/>
        <w:ind w:left="708" w:hanging="708"/>
        <w:jc w:val="both"/>
      </w:pPr>
      <w:r>
        <w:rPr>
          <w:rFonts w:ascii="Avenir Next LT Pro" w:hAnsi="Avenir Next LT Pro"/>
          <w:b w:val="0"/>
          <w:i w:val="0"/>
          <w:color w:val="1C4076"/>
          <w:sz w:val="22"/>
        </w:rPr>
        <w:t>3.9</w:t>
        <w:tab/>
      </w:r>
      <w:r>
        <w:rPr>
          <w:rFonts w:ascii="Avenir Next LT Pro" w:hAnsi="Avenir Next LT Pro"/>
          <w:b w:val="0"/>
          <w:i w:val="0"/>
          <w:color w:val="1C4076"/>
          <w:sz w:val="22"/>
        </w:rPr>
        <w:t>The Disclosure Committee may contact and consult Nasdaq Copenhagen’s surveillance function in case of doubt, including in situations of potentials leaks of inside information.</w:t>
      </w:r>
    </w:p>
    <w:p>
      <w:pPr>
        <w:keepNext/>
        <w:tabs>
          <w:tab w:pos="708" w:val="left"/>
        </w:tabs>
        <w:spacing w:before="260" w:after="160"/>
        <w:ind w:left="708" w:hanging="708"/>
      </w:pPr>
      <w:r>
        <w:rPr>
          <w:rFonts w:ascii="Avenir Next LT Pro" w:hAnsi="Avenir Next LT Pro"/>
          <w:b/>
          <w:i w:val="0"/>
          <w:color w:val="1C4076"/>
          <w:sz w:val="28"/>
        </w:rPr>
        <w:t>4</w:t>
        <w:tab/>
        <w:t>Meetings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Disclosure Committee meets regularly and on an ad-hoc basis to fulfil its duties.</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The Disclosure Committee forms a quorum when at least three of its members are represented.</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The Chair of the Disclosure Committee shall convene the meetings and determine the agenda which shall to the extent possible be sent to the members in advance of each meeting.</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Members of the Board of Directors and the Executive Management as well as relevant employees and external parties (e.g. advisors) and representatives of the controlling shareholder 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p>
    <w:p>
      <w:pPr>
        <w:keepNext/>
        <w:tabs>
          <w:tab w:pos="708" w:val="left"/>
        </w:tabs>
        <w:spacing w:before="260" w:after="160"/>
        <w:ind w:left="708" w:hanging="708"/>
      </w:pPr>
      <w:r>
        <w:rPr>
          <w:rFonts w:ascii="Avenir Next LT Pro" w:hAnsi="Avenir Next LT Pro"/>
          <w:b/>
          <w:i w:val="0"/>
          <w:color w:val="1C4076"/>
          <w:sz w:val="28"/>
        </w:rPr>
        <w:t>5</w:t>
        <w:tab/>
        <w:t>Reporting</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Disclosure Committee will regularly inform the Executive Management on relevant matters. The Executive Management shall procure that relevant matters are reported to the Board of Directors.</w:t>
      </w:r>
    </w:p>
    <w:p>
      <w:pPr>
        <w:keepNext/>
        <w:tabs>
          <w:tab w:pos="708" w:val="left"/>
        </w:tabs>
        <w:spacing w:before="260" w:after="160"/>
        <w:ind w:left="708" w:hanging="708"/>
      </w:pPr>
      <w:r>
        <w:rPr>
          <w:rFonts w:ascii="Avenir Next LT Pro" w:hAnsi="Avenir Next LT Pro"/>
          <w:b/>
          <w:i w:val="0"/>
          <w:color w:val="1C4076"/>
          <w:sz w:val="28"/>
        </w:rPr>
        <w:t>6</w:t>
        <w:tab/>
        <w:t>Confidentiality</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w:t>
      </w:r>
    </w:p>
    <w:p>
      <w:pPr>
        <w:keepNext/>
        <w:tabs>
          <w:tab w:pos="708" w:val="left"/>
        </w:tabs>
        <w:spacing w:before="260" w:after="160"/>
        <w:ind w:left="708" w:hanging="708"/>
      </w:pPr>
      <w:r>
        <w:rPr>
          <w:rFonts w:ascii="Avenir Next LT Pro" w:hAnsi="Avenir Next LT Pro"/>
          <w:b/>
          <w:i w:val="0"/>
          <w:color w:val="1C4076"/>
          <w:sz w:val="28"/>
        </w:rPr>
        <w:t>7</w:t>
        <w:tab/>
        <w:t>Review of Charter</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Disclosure Committee shall review this Disclosure Committee Charter once every year. Amendments shall be approved by the Executive Management.</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This Disclosure Committee Charter has been approved by the Executive Management on 19 May 2026.</w:t>
      </w:r>
    </w:p>
    <w:p>
      <w:pPr>
        <w:keepNext/>
        <w:tabs>
          <w:tab w:pos="708" w:val="left"/>
        </w:tabs>
        <w:spacing w:before="260" w:after="160"/>
        <w:ind w:left="708" w:hanging="708"/>
      </w:pPr>
      <w:r>
        <w:rPr>
          <w:rFonts w:ascii="Avenir Next LT Pro" w:hAnsi="Avenir Next LT Pro"/>
          <w:b/>
          <w:i w:val="0"/>
          <w:color w:val="1C4076"/>
          <w:sz w:val="28"/>
        </w:rPr>
        <w:t>8</w:t>
        <w:tab/>
        <w:t>Schedule 1 – Definition of Inside Information</w:t>
      </w:r>
    </w:p>
    <w:p>
      <w:pPr>
        <w:spacing w:after="200"/>
        <w:jc w:val="both"/>
      </w:pPr>
      <w:r>
        <w:rPr>
          <w:rFonts w:ascii="Avenir Next LT Pro" w:hAnsi="Avenir Next LT Pro"/>
          <w:b w:val="0"/>
          <w:i w:val="0"/>
          <w:color w:val="1C4076"/>
          <w:sz w:val="22"/>
        </w:rPr>
        <w:t>Inside Information is information which is:</w:t>
      </w:r>
    </w:p>
    <w:p>
      <w:pPr>
        <w:tabs>
          <w:tab w:pos="1416" w:val="left"/>
        </w:tabs>
        <w:spacing w:after="160"/>
        <w:ind w:left="1416" w:hanging="708"/>
      </w:pPr>
      <w:r>
        <w:rPr>
          <w:rFonts w:ascii="Avenir Next LT Pro" w:hAnsi="Avenir Next LT Pro"/>
          <w:b w:val="0"/>
          <w:i w:val="0"/>
          <w:color w:val="1C4076"/>
          <w:sz w:val="22"/>
        </w:rPr>
        <w:t>•</w:t>
        <w:tab/>
        <w:t>Non-public;</w:t>
      </w:r>
    </w:p>
    <w:p>
      <w:pPr>
        <w:tabs>
          <w:tab w:pos="1416" w:val="left"/>
        </w:tabs>
        <w:spacing w:after="160"/>
        <w:ind w:left="1416" w:hanging="708"/>
      </w:pPr>
      <w:r>
        <w:rPr>
          <w:rFonts w:ascii="Avenir Next LT Pro" w:hAnsi="Avenir Next LT Pro"/>
          <w:b w:val="0"/>
          <w:i w:val="0"/>
          <w:color w:val="1C4076"/>
          <w:sz w:val="22"/>
        </w:rPr>
        <w:t>•</w:t>
        <w:tab/>
        <w:t>Precise;</w:t>
      </w:r>
    </w:p>
    <w:p>
      <w:pPr>
        <w:tabs>
          <w:tab w:pos="1416" w:val="left"/>
        </w:tabs>
        <w:spacing w:after="160"/>
        <w:ind w:left="1416" w:hanging="708"/>
      </w:pPr>
      <w:r>
        <w:rPr>
          <w:rFonts w:ascii="Avenir Next LT Pro" w:hAnsi="Avenir Next LT Pro"/>
          <w:b w:val="0"/>
          <w:i w:val="0"/>
          <w:color w:val="1C4076"/>
          <w:sz w:val="22"/>
        </w:rPr>
        <w:t>•</w:t>
        <w:tab/>
        <w:t>Relates directly or indirectly to BioMar Group A/S or BioMar Group A/S’ Financial Instruments; and</w:t>
      </w:r>
    </w:p>
    <w:p>
      <w:pPr>
        <w:tabs>
          <w:tab w:pos="1416" w:val="left"/>
        </w:tabs>
        <w:spacing w:after="280"/>
        <w:ind w:left="1416" w:hanging="708"/>
      </w:pPr>
      <w:r>
        <w:rPr>
          <w:rFonts w:ascii="Avenir Next LT Pro" w:hAnsi="Avenir Next LT Pro"/>
          <w:b w:val="0"/>
          <w:i w:val="0"/>
          <w:color w:val="1C4076"/>
          <w:sz w:val="22"/>
        </w:rPr>
        <w:t>•</w:t>
        <w:tab/>
        <w:t>If made public, would be likely to have a significant effect on the pricing of BioMar Group A/S’ Financial Instruments.</w:t>
      </w:r>
    </w:p>
    <w:p>
      <w:pPr>
        <w:spacing w:after="200"/>
        <w:jc w:val="both"/>
      </w:pPr>
      <w:r>
        <w:rPr>
          <w:rFonts w:ascii="Avenir Next LT Pro" w:hAnsi="Avenir Next LT Pro"/>
          <w:b w:val="0"/>
          <w:i w:val="0"/>
          <w:color w:val="1C4076"/>
          <w:sz w:val="22"/>
        </w:rPr>
        <w:t xml:space="preserve">For further guidance, please refer to the definition of Inside Information in </w:t>
      </w:r>
      <w:r>
        <w:rPr>
          <w:rFonts w:ascii="Avenir Next LT Pro" w:hAnsi="Avenir Next LT Pro"/>
          <w:b/>
          <w:i w:val="0"/>
          <w:color w:val="1C4076"/>
          <w:sz w:val="22"/>
        </w:rPr>
        <w:t>Appendix B</w:t>
      </w:r>
      <w:r>
        <w:rPr>
          <w:rFonts w:ascii="Avenir Next LT Pro" w:hAnsi="Avenir Next LT Pro"/>
          <w:b w:val="0"/>
          <w:i w:val="0"/>
          <w:color w:val="1C4076"/>
          <w:sz w:val="22"/>
        </w:rPr>
        <w:t xml:space="preserve"> in the Internal Rules for the Company’s compliance with its disclosure obligations.</w:t>
      </w:r>
    </w:p>
    <w:p>
      <w:pPr>
        <w:keepNext/>
        <w:tabs>
          <w:tab w:pos="708" w:val="left"/>
        </w:tabs>
        <w:spacing w:before="260" w:after="160"/>
        <w:ind w:left="708" w:hanging="708"/>
      </w:pPr>
      <w:r>
        <w:rPr>
          <w:rFonts w:ascii="Avenir Next LT Pro" w:hAnsi="Avenir Next LT Pro"/>
          <w:b/>
          <w:i w:val="0"/>
          <w:color w:val="1C4076"/>
          <w:sz w:val="28"/>
        </w:rPr>
        <w:t>9</w:t>
        <w:tab/>
        <w:t>Schedule 2 – Log for monitoring events or circumstances which may constitute Inside Information</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It is the assessment that immediate disclosure is likely to prejudice the legitimate interests of BioMar Group A/S (the “Company”), as [explanation of legitimate interest],</w:t>
      </w:r>
    </w:p>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pPr>
        <w:tabs>
          <w:tab w:pos="708" w:val="left"/>
        </w:tabs>
        <w:spacing w:after="20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the Company is able to ensure the confidentiality of the Inside Information.</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Log for monitoring fulfilment of items 1-3</w:t>
            </w:r>
          </w:p>
        </w:tc>
        <w:tc>
          <w:tcPr>
            <w:tcW w:type="dxa" w:w="5103"/>
            <w:shd w:val="clear" w:fill="1C4076"/>
          </w:tcPr>
          <w:p>
            <w:r/>
            <w:r>
              <w:rPr>
                <w:rFonts w:ascii="Avenir Next LT Pro" w:hAnsi="Avenir Next LT Pro"/>
                <w:b/>
                <w:i w:val="0"/>
                <w:color w:val="FFFFFF"/>
                <w:sz w:val="17"/>
              </w:rPr>
              <w:t>Log for monitoring fulfilment of items 1-3</w:t>
            </w:r>
          </w:p>
        </w:tc>
      </w:tr>
      <w:tr>
        <w:tc>
          <w:tcPr>
            <w:tcW w:type="dxa" w:w="5103"/>
          </w:tcPr>
          <w:p>
            <w:r/>
            <w:r>
              <w:rPr>
                <w:rFonts w:ascii="Avenir Next LT Pro" w:hAnsi="Avenir Next LT Pro"/>
                <w:b w:val="0"/>
                <w:i w:val="0"/>
                <w:color w:val="1C4076"/>
                <w:sz w:val="17"/>
              </w:rPr>
            </w:r>
          </w:p>
        </w:tc>
        <w:tc>
          <w:tcPr>
            <w:tcW w:type="dxa" w:w="5103"/>
          </w:tcPr>
          <w:p>
            <w:r/>
            <w:r>
              <w:rPr>
                <w:rFonts w:ascii="Avenir Next LT Pro" w:hAnsi="Avenir Next LT Pro"/>
                <w:b w:val="0"/>
                <w:i w:val="0"/>
                <w:color w:val="1C4076"/>
                <w:sz w:val="17"/>
              </w:rPr>
              <w:t>Any changes to the fulfilment of the conditions noted above must be registered herein and logged in the format set out. Overview should be deleted prior to any distribution of this explanation if no updates have been made.</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[Description of event or circumstance which (potentially) constitutes Inside Information</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[Update on material developments]</w:t>
            </w:r>
          </w:p>
        </w:tc>
      </w:tr>
      <w:tr>
        <w:tc>
          <w:tcPr>
            <w:tcW w:type="dxa" w:w="5103"/>
          </w:tcPr>
          <w:p>
            <w:r/>
            <w:r>
              <w:rPr>
                <w:rFonts w:ascii="Avenir Next LT Pro" w:hAnsi="Avenir Next LT Pro"/>
                <w:b w:val="0"/>
                <w:i w:val="0"/>
                <w:color w:val="1C4076"/>
                <w:sz w:val="17"/>
              </w:rPr>
              <w:t>Other information</w:t>
            </w:r>
          </w:p>
        </w:tc>
        <w:tc>
          <w:tcPr>
            <w:tcW w:type="dxa" w:w="5103"/>
          </w:tcPr>
          <w:p>
            <w:r/>
            <w:r>
              <w:rPr>
                <w:rFonts w:ascii="Avenir Next LT Pro" w:hAnsi="Avenir Next LT Pro"/>
                <w:b w:val="0"/>
                <w:i w:val="0"/>
                <w:color w:val="1C4076"/>
                <w:sz w:val="17"/>
              </w:rPr>
              <w:t>Other information</w:t>
            </w:r>
          </w:p>
        </w:tc>
      </w:tr>
      <w:tr>
        <w:tc>
          <w:tcPr>
            <w:tcW w:type="dxa" w:w="5103"/>
          </w:tcPr>
          <w:p>
            <w:r/>
            <w:r>
              <w:rPr>
                <w:rFonts w:ascii="Avenir Next LT Pro" w:hAnsi="Avenir Next LT Pro"/>
                <w:b w:val="0"/>
                <w:i w:val="0"/>
                <w:color w:val="1C4076"/>
                <w:sz w:val="17"/>
              </w:rPr>
              <w:t>Inside Information first existing within the Company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Decision to delay was made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Disclosure is likely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Persons responsible</w:t>
            </w:r>
          </w:p>
        </w:tc>
        <w:tc>
          <w:tcPr>
            <w:tcW w:type="dxa" w:w="5103"/>
          </w:tcPr>
          <w:p>
            <w:r/>
            <w:r>
              <w:rPr>
                <w:rFonts w:ascii="Avenir Next LT Pro" w:hAnsi="Avenir Next LT Pro"/>
                <w:b w:val="0"/>
                <w:i w:val="0"/>
                <w:color w:val="1C4076"/>
                <w:sz w:val="17"/>
              </w:rPr>
              <w:t>[Name and title]</w:t>
            </w:r>
          </w:p>
        </w:tc>
      </w:tr>
      <w:tr>
        <w:tc>
          <w:tcPr>
            <w:tcW w:type="dxa" w:w="5103"/>
          </w:tcPr>
          <w:p>
            <w:r/>
            <w:r>
              <w:rPr>
                <w:rFonts w:ascii="Avenir Next LT Pro" w:hAnsi="Avenir Next LT Pro"/>
                <w:b w:val="0"/>
                <w:i w:val="0"/>
                <w:color w:val="1C4076"/>
                <w:sz w:val="17"/>
              </w:rPr>
            </w:r>
          </w:p>
        </w:tc>
        <w:tc>
          <w:tcPr>
            <w:tcW w:type="dxa" w:w="5103"/>
          </w:tcPr>
          <w:p>
            <w:r/>
            <w:r>
              <w:rPr>
                <w:rFonts w:ascii="Avenir Next LT Pro" w:hAnsi="Avenir Next LT Pro"/>
                <w:b w:val="0"/>
                <w:i w:val="0"/>
                <w:color w:val="1C4076"/>
                <w:sz w:val="17"/>
              </w:rPr>
              <w:t>The area of responsibility covers: deciding about the start of the delay and its likely end, ensuring the on-going monitoring of the conditions of delay, deciding about the public disclosure of the inside information, providing the requested information about the delay and the written explanation to the Danish Financial Supervisory Authority.</w:t>
            </w:r>
          </w:p>
        </w:tc>
      </w:tr>
      <w:tr>
        <w:tc>
          <w:tcPr>
            <w:tcW w:type="dxa" w:w="5103"/>
          </w:tcPr>
          <w:p>
            <w:r/>
            <w:r>
              <w:rPr>
                <w:rFonts w:ascii="Avenir Next LT Pro" w:hAnsi="Avenir Next LT Pro"/>
                <w:b w:val="0"/>
                <w:i w:val="0"/>
                <w:color w:val="1C4076"/>
                <w:sz w:val="17"/>
              </w:rPr>
              <w:t>Internal information barriers</w:t>
            </w:r>
          </w:p>
        </w:tc>
        <w:tc>
          <w:tcPr>
            <w:tcW w:type="dxa" w:w="5103"/>
          </w:tcPr>
          <w:p>
            <w:r/>
            <w:r>
              <w:rPr>
                <w:rFonts w:ascii="Avenir Next LT Pro" w:hAnsi="Avenir Next LT Pro"/>
                <w:b w:val="0"/>
                <w:i w:val="0"/>
                <w:color w:val="1C4076"/>
                <w:sz w:val="17"/>
              </w:rPr>
              <w:t>[Insider lists/NDAs/Chinese walls/internal rules and procedures on handling confidential information]</w:t>
            </w:r>
          </w:p>
        </w:tc>
      </w:tr>
      <w:tr>
        <w:tc>
          <w:tcPr>
            <w:tcW w:type="dxa" w:w="5103"/>
          </w:tcPr>
          <w:p>
            <w:r/>
            <w:r>
              <w:rPr>
                <w:rFonts w:ascii="Avenir Next LT Pro" w:hAnsi="Avenir Next LT Pro"/>
                <w:b w:val="0"/>
                <w:i w:val="0"/>
                <w:color w:val="1C4076"/>
                <w:sz w:val="17"/>
              </w:rPr>
              <w:t>Leakage plan</w:t>
            </w:r>
          </w:p>
        </w:tc>
        <w:tc>
          <w:tcPr>
            <w:tcW w:type="dxa" w:w="5103"/>
          </w:tcPr>
          <w:p>
            <w:r/>
            <w:r>
              <w:rPr>
                <w:rFonts w:ascii="Avenir Next LT Pro" w:hAnsi="Avenir Next LT Pro"/>
                <w:b w:val="0"/>
                <w:i w:val="0"/>
                <w:color w:val="1C4076"/>
                <w:sz w:val="17"/>
              </w:rPr>
              <w:t>[Brief description of leakage plan other arrangements in the event of leakage, incl. any draft company announcements prepared]</w:t>
            </w:r>
          </w:p>
        </w:tc>
      </w:tr>
    </w:tbl>
    <w:p>
      <w:pPr>
        <w:spacing w:after="200"/>
        <w:jc w:val="both"/>
      </w:pPr>
      <w:r>
        <w:rPr>
          <w:rFonts w:ascii="Avenir Next LT Pro" w:hAnsi="Avenir Next LT Pro"/>
          <w:b/>
          <w:i w:val="0"/>
          <w:color w:val="1C4076"/>
          <w:sz w:val="22"/>
        </w:rP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pPr>
        <w:keepNext/>
        <w:tabs>
          <w:tab w:pos="708" w:val="left"/>
        </w:tabs>
        <w:spacing w:before="260" w:after="160"/>
        <w:ind w:left="708" w:hanging="708"/>
      </w:pPr>
      <w:r>
        <w:rPr>
          <w:rFonts w:ascii="Avenir Next LT Pro" w:hAnsi="Avenir Next LT Pro"/>
          <w:b/>
          <w:i w:val="0"/>
          <w:color w:val="1C4076"/>
          <w:sz w:val="28"/>
        </w:rPr>
        <w:t>10</w:t>
        <w:tab/>
        <w:t>Schedule 3 – Notification of delayed disclosure of Inside Information</w:t>
      </w:r>
    </w:p>
    <w:p>
      <w:pPr>
        <w:spacing w:after="200"/>
        <w:jc w:val="both"/>
      </w:pPr>
      <w:r>
        <w:rPr>
          <w:rFonts w:ascii="Avenir Next LT Pro" w:hAnsi="Avenir Next LT Pro"/>
          <w:b w:val="0"/>
          <w:i w:val="0"/>
          <w:color w:val="1C4076"/>
          <w:sz w:val="22"/>
        </w:rPr>
        <w:t>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The identity of the issuer</w:t>
      </w:r>
    </w:p>
    <w:p>
      <w:pPr>
        <w:spacing w:after="200"/>
        <w:ind w:left="708" w:firstLine="0"/>
        <w:jc w:val="both"/>
      </w:pPr>
      <w:r>
        <w:rPr>
          <w:rFonts w:ascii="Avenir Next LT Pro" w:hAnsi="Avenir Next LT Pro"/>
          <w:b w:val="0"/>
          <w:i/>
          <w:color w:val="1C4076"/>
          <w:sz w:val="22"/>
        </w:rPr>
        <w:t>Full legal name and CVR no.</w:t>
      </w:r>
    </w:p>
    <w:tbl>
      <w:tblPr>
        <w:tblStyle w:val="TableGrid"/>
        <w:tblW w:type="auto" w:w="0"/>
        <w:jc w:val="center"/>
        <w:tblLook w:firstColumn="1" w:firstRow="1" w:lastColumn="0" w:lastRow="0" w:noHBand="0" w:noVBand="1" w:val="04A0"/>
      </w:tblPr>
      <w:tblGrid>
        <w:gridCol w:w="10206"/>
      </w:tblGrid>
      <w:tr>
        <w:tc>
          <w:tcPr>
            <w:tcW w:type="dxa" w:w="10206"/>
            <w:shd w:val="clear" w:fill="1C4076"/>
          </w:tcPr>
          <w:p>
            <w:r/>
            <w:r>
              <w:rPr>
                <w:rFonts w:ascii="Avenir Next LT Pro" w:hAnsi="Avenir Next LT Pro"/>
                <w:b/>
                <w:i w:val="0"/>
                <w:color w:val="FFFFFF"/>
                <w:sz w:val="17"/>
              </w:rPr>
              <w:t>BioMar Group A/S, CVR no. 38 57 06 17</w:t>
            </w:r>
          </w:p>
        </w:tc>
      </w:tr>
    </w:tbl>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The identity of the person making the notification</w:t>
      </w:r>
    </w:p>
    <w:p>
      <w:pPr>
        <w:spacing w:after="200"/>
        <w:jc w:val="both"/>
      </w:pPr>
      <w:r>
        <w:rPr>
          <w:rFonts w:ascii="Avenir Next LT Pro" w:hAnsi="Avenir Next LT Pro"/>
          <w:b w:val="0"/>
          <w:i/>
          <w:color w:val="1C4076"/>
          <w:sz w:val="22"/>
        </w:rPr>
        <w:t>Title, name, surname, email address and phone number</w:t>
      </w:r>
    </w:p>
    <w:p>
      <w:pPr>
        <w:tabs>
          <w:tab w:pos="708" w:val="left"/>
        </w:tabs>
        <w:spacing w:after="20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Description of the Inside Information that was subject to delayed disclosure</w:t>
      </w:r>
    </w:p>
    <w:p>
      <w:pPr>
        <w:spacing w:after="200"/>
        <w:jc w:val="both"/>
      </w:pPr>
      <w:r>
        <w:rPr>
          <w:rFonts w:ascii="Avenir Next LT Pro" w:hAnsi="Avenir Next LT Pro"/>
          <w:b w:val="0"/>
          <w:i/>
          <w:color w:val="1C4076"/>
          <w:sz w:val="22"/>
        </w:rPr>
        <w:t>Title and reference number of the disclosure statement and description of which part of the statement that constituted inside information of which disclosure was delayed</w:t>
      </w:r>
    </w:p>
    <w:p>
      <w:pPr>
        <w:tabs>
          <w:tab w:pos="708" w:val="left"/>
        </w:tabs>
        <w:spacing w:after="200"/>
        <w:ind w:left="708" w:hanging="708"/>
        <w:jc w:val="both"/>
      </w:pPr>
      <w:r>
        <w:rPr>
          <w:rFonts w:ascii="Avenir Next LT Pro" w:hAnsi="Avenir Next LT Pro"/>
          <w:b w:val="0"/>
          <w:i w:val="0"/>
          <w:color w:val="1C4076"/>
          <w:sz w:val="22"/>
        </w:rPr>
        <w:t>4.</w:t>
        <w:tab/>
      </w:r>
      <w:r>
        <w:rPr>
          <w:rFonts w:ascii="Avenir Next LT Pro" w:hAnsi="Avenir Next LT Pro"/>
          <w:b w:val="0"/>
          <w:i w:val="0"/>
          <w:color w:val="1C4076"/>
          <w:sz w:val="22"/>
        </w:rPr>
        <w:t>Date and time of the decision to delay disclosure of Inside Information:</w:t>
      </w:r>
    </w:p>
    <w:p>
      <w:pPr>
        <w:tabs>
          <w:tab w:pos="708" w:val="left"/>
        </w:tabs>
        <w:spacing w:after="200"/>
        <w:ind w:left="708" w:hanging="708"/>
        <w:jc w:val="both"/>
      </w:pPr>
      <w:r>
        <w:rPr>
          <w:rFonts w:ascii="Avenir Next LT Pro" w:hAnsi="Avenir Next LT Pro"/>
          <w:b w:val="0"/>
          <w:i w:val="0"/>
          <w:color w:val="1C4076"/>
          <w:sz w:val="22"/>
        </w:rPr>
        <w:t>5.</w:t>
        <w:tab/>
      </w:r>
      <w:r>
        <w:rPr>
          <w:rFonts w:ascii="Avenir Next LT Pro" w:hAnsi="Avenir Next LT Pro"/>
          <w:b w:val="0"/>
          <w:i w:val="0"/>
          <w:color w:val="1C4076"/>
          <w:sz w:val="22"/>
        </w:rPr>
        <w:t>The identity of all natural persons responsible for the decision of delaying the disclosure of the Inside Information</w:t>
      </w:r>
    </w:p>
    <w:p>
      <w:pPr>
        <w:spacing w:after="200"/>
        <w:jc w:val="both"/>
      </w:pPr>
      <w:r>
        <w:rPr>
          <w:rFonts w:ascii="Avenir Next LT Pro" w:hAnsi="Avenir Next LT Pro"/>
          <w:b w:val="0"/>
          <w:i/>
          <w:color w:val="1C4076"/>
          <w:sz w:val="22"/>
        </w:rPr>
        <w:t>Title and name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Disclosure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