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m166kpsp.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In BioMar, we have a fundamental belief that results are created by people. BioMar considers diversity a strength which makes a positive contribution to growth and value creation for the company. We believe diversity, equity, and inclusion are fundamental drivers for unlocking the full human potential of society.</w:t>
      </w:r>
    </w:p>
    <w:p>
      <w:pPr>
        <w:spacing w:after="200"/>
        <w:jc w:val="both"/>
      </w:pPr>
      <w:r>
        <w:rPr>
          <w:rFonts w:ascii="Avenir Next LT Pro" w:hAnsi="Avenir Next LT Pro"/>
          <w:b w:val="0"/>
          <w:color w:val="1C4076"/>
          <w:sz w:val="22"/>
        </w:rPr>
        <w:t>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encouraging our business partners to actively pursue diversity, equity and inclusion in their organisations.</w:t>
      </w:r>
    </w:p>
    <w:p>
      <w:pPr>
        <w:spacing w:after="200"/>
        <w:jc w:val="both"/>
      </w:pPr>
      <w:r>
        <w:rPr>
          <w:rFonts w:ascii="Avenir Next LT Pro" w:hAnsi="Avenir Next LT Pro"/>
          <w:b w:val="0"/>
          <w:color w:val="1C4076"/>
          <w:sz w:val="22"/>
        </w:rPr>
        <w:t>Diversity is broadly defined as the presence of a wide range of different characteristics, backgrounds and perspectives such as professional background, seniority, education, age, gender, nationality, ethnicity, religion, sexual orientation, and physical/mental ability.</w:t>
      </w:r>
    </w:p>
    <w:p>
      <w:pPr>
        <w:keepNext/>
        <w:spacing w:before="260" w:after="160"/>
      </w:pPr>
      <w:r>
        <w:rPr>
          <w:rFonts w:ascii="Avenir Next LT Pro" w:hAnsi="Avenir Next LT Pro"/>
          <w:b/>
          <w:color w:val="1C4076"/>
          <w:sz w:val="28"/>
        </w:rPr>
        <w:t>Our commitment</w:t>
      </w:r>
    </w:p>
    <w:p>
      <w:pPr>
        <w:spacing w:after="200"/>
        <w:jc w:val="both"/>
      </w:pPr>
      <w:r>
        <w:rPr>
          <w:rFonts w:ascii="Avenir Next LT Pro" w:hAnsi="Avenir Next LT Pro"/>
          <w:b w:val="0"/>
          <w:color w:val="1C4076"/>
          <w:sz w:val="22"/>
        </w:rPr>
        <w:t>BioMar is committed to promoting value creation in the group through encouraging collaboration between people with different backgrounds. Diversity in the employee composition is a supporting factor for breadth and variation of expertise, enhancing innovation, engagement and qualified decision making.</w:t>
      </w:r>
    </w:p>
    <w:p>
      <w:pPr>
        <w:spacing w:after="200"/>
        <w:jc w:val="both"/>
      </w:pPr>
      <w:r>
        <w:rPr>
          <w:rFonts w:ascii="Avenir Next LT Pro" w:hAnsi="Avenir Next LT Pro"/>
          <w:b w:val="0"/>
          <w:color w:val="1C4076"/>
          <w:sz w:val="22"/>
        </w:rPr>
        <w:t>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w:t>
      </w:r>
    </w:p>
    <w:p>
      <w:pPr>
        <w:spacing w:after="200"/>
        <w:jc w:val="both"/>
      </w:pPr>
      <w:r>
        <w:rPr>
          <w:rFonts w:ascii="Avenir Next LT Pro" w:hAnsi="Avenir Next LT Pro"/>
          <w:b w:val="0"/>
          <w:color w:val="1C4076"/>
          <w:sz w:val="22"/>
        </w:rPr>
        <w:t>It is our principles that:</w:t>
      </w:r>
    </w:p>
    <w:p>
      <w:pPr>
        <w:pStyle w:val="ListBullet"/>
        <w:spacing w:after="80"/>
      </w:pPr>
      <w:r>
        <w:rPr>
          <w:rFonts w:ascii="Avenir Next LT Pro" w:hAnsi="Avenir Next LT Pro"/>
          <w:b w:val="0"/>
          <w:color w:val="1C4076"/>
          <w:sz w:val="22"/>
        </w:rPr>
        <w:t>We strive for diversity, equality, and inclusion at all levels in the organisation</w:t>
      </w:r>
    </w:p>
    <w:p>
      <w:pPr>
        <w:pStyle w:val="ListBullet"/>
        <w:spacing w:after="80"/>
      </w:pPr>
      <w:r>
        <w:rPr>
          <w:rFonts w:ascii="Avenir Next LT Pro" w:hAnsi="Avenir Next LT Pro"/>
          <w:b w:val="0"/>
          <w:color w:val="1C4076"/>
          <w:sz w:val="22"/>
        </w:rPr>
        <w:t>We are committed to building a culture recognizing the inherent value of all human beings</w:t>
      </w:r>
    </w:p>
    <w:p>
      <w:pPr>
        <w:pStyle w:val="ListBullet"/>
        <w:spacing w:after="80"/>
      </w:pPr>
      <w:r>
        <w:rPr>
          <w:rFonts w:ascii="Avenir Next LT Pro" w:hAnsi="Avenir Next LT Pro"/>
          <w:b w:val="0"/>
          <w:color w:val="1C4076"/>
          <w:sz w:val="22"/>
        </w:rPr>
        <w:t>We strive to be flexible in supporting employee differences</w:t>
      </w:r>
    </w:p>
    <w:p>
      <w:pPr>
        <w:pStyle w:val="ListBullet"/>
        <w:spacing w:after="80"/>
      </w:pPr>
      <w:r>
        <w:rPr>
          <w:rFonts w:ascii="Avenir Next LT Pro" w:hAnsi="Avenir Next LT Pro"/>
          <w:b w:val="0"/>
          <w:color w:val="1C4076"/>
          <w:sz w:val="22"/>
        </w:rPr>
        <w:t>We train our managers to understand and act on the importance of diversity</w:t>
      </w:r>
    </w:p>
    <w:p>
      <w:pPr>
        <w:keepNext/>
        <w:spacing w:before="260" w:after="160"/>
      </w:pPr>
      <w:r>
        <w:rPr>
          <w:rFonts w:ascii="Avenir Next LT Pro" w:hAnsi="Avenir Next LT Pro"/>
          <w:b/>
          <w:color w:val="1C4076"/>
          <w:sz w:val="28"/>
        </w:rPr>
        <w:t>Inclusion of underrepresented talent</w:t>
      </w:r>
    </w:p>
    <w:p>
      <w:pPr>
        <w:spacing w:after="200"/>
        <w:jc w:val="both"/>
      </w:pPr>
      <w:r>
        <w:rPr>
          <w:rFonts w:ascii="Avenir Next LT Pro" w:hAnsi="Avenir Next LT Pro"/>
          <w:b w:val="0"/>
          <w:color w:val="1C4076"/>
          <w:sz w:val="22"/>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pPr>
        <w:spacing w:after="200"/>
        <w:jc w:val="both"/>
      </w:pPr>
      <w:r>
        <w:rPr>
          <w:rFonts w:ascii="Avenir Next LT Pro" w:hAnsi="Avenir Next LT Pro"/>
          <w:b w:val="0"/>
          <w:color w:val="1C4076"/>
          <w:sz w:val="22"/>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pPr>
        <w:spacing w:after="200"/>
        <w:jc w:val="both"/>
      </w:pPr>
      <w:r>
        <w:rPr>
          <w:rFonts w:ascii="Avenir Next LT Pro" w:hAnsi="Avenir Next LT Pro"/>
          <w:b w:val="0"/>
          <w:color w:val="1C4076"/>
          <w:sz w:val="22"/>
        </w:rPr>
        <w:t>We commit to measure and take action to ensure that all employees experience equal opportunities in respect to development opportunities and career advancement, regardless of background, personal life circumstances and other diversity factors.</w:t>
      </w:r>
    </w:p>
    <w:p>
      <w:pPr>
        <w:spacing w:after="200"/>
        <w:jc w:val="both"/>
      </w:pPr>
      <w:r>
        <w:rPr>
          <w:rFonts w:ascii="Avenir Next LT Pro" w:hAnsi="Avenir Next LT Pro"/>
          <w:b w:val="0"/>
          <w:color w:val="1C4076"/>
          <w:sz w:val="22"/>
        </w:rPr>
        <w:t>At the same time, we commit to safeguarding policies and practices for remuneration, which are gender neutral and to the widest extent possible support the principle of equal pay for equal work or like value.</w:t>
      </w:r>
    </w:p>
    <w:p>
      <w:pPr>
        <w:spacing w:after="200"/>
        <w:jc w:val="both"/>
      </w:pPr>
      <w:r>
        <w:rPr>
          <w:rFonts w:ascii="Avenir Next LT Pro" w:hAnsi="Avenir Next LT Pro"/>
          <w:b w:val="0"/>
          <w:color w:val="1C4076"/>
          <w:sz w:val="22"/>
        </w:rPr>
        <w:t>Finally, we commit to building focus on work-life balance into the employee life cycle, ensuring that BioMar supports the foundation for a diverse workforce, where every employee experience to be included.</w:t>
      </w:r>
    </w:p>
    <w:p>
      <w:pPr>
        <w:keepNext/>
        <w:spacing w:before="260" w:after="160"/>
      </w:pPr>
      <w:r>
        <w:rPr>
          <w:rFonts w:ascii="Avenir Next LT Pro" w:hAnsi="Avenir Next LT Pro"/>
          <w:b/>
          <w:color w:val="1C4076"/>
          <w:sz w:val="28"/>
        </w:rPr>
        <w:t>Diversity in management</w:t>
      </w:r>
    </w:p>
    <w:p>
      <w:pPr>
        <w:spacing w:after="200"/>
        <w:jc w:val="both"/>
      </w:pPr>
      <w:r>
        <w:rPr>
          <w:rFonts w:ascii="Avenir Next LT Pro" w:hAnsi="Avenir Next LT Pro"/>
          <w:b w:val="0"/>
          <w:color w:val="1C4076"/>
          <w:sz w:val="22"/>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pPr>
        <w:spacing w:after="200"/>
        <w:jc w:val="both"/>
      </w:pPr>
      <w:r>
        <w:rPr>
          <w:rFonts w:ascii="Avenir Next LT Pro" w:hAnsi="Avenir Next LT Pro"/>
          <w:b w:val="0"/>
          <w:color w:val="1C4076"/>
          <w:sz w:val="22"/>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pPr>
        <w:spacing w:after="200"/>
        <w:jc w:val="both"/>
      </w:pPr>
      <w:r>
        <w:rPr>
          <w:rFonts w:ascii="Avenir Next LT Pro" w:hAnsi="Avenir Next LT Pro"/>
          <w:b w:val="0"/>
          <w:color w:val="1C4076"/>
          <w:sz w:val="22"/>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p>
    <w:p>
      <w:pPr>
        <w:keepNext/>
        <w:spacing w:before="260" w:after="160"/>
      </w:pPr>
      <w:r>
        <w:rPr>
          <w:rFonts w:ascii="Avenir Next LT Pro" w:hAnsi="Avenir Next LT Pro"/>
          <w:b/>
          <w:color w:val="1C4076"/>
          <w:sz w:val="28"/>
        </w:rPr>
        <w:t>Gender diversity in management</w:t>
      </w:r>
    </w:p>
    <w:p>
      <w:pPr>
        <w:spacing w:after="200"/>
        <w:jc w:val="both"/>
      </w:pPr>
      <w:r>
        <w:rPr>
          <w:rFonts w:ascii="Avenir Next LT Pro" w:hAnsi="Avenir Next LT Pro"/>
          <w:b w:val="0"/>
          <w:color w:val="1C4076"/>
          <w:sz w:val="22"/>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pPr>
        <w:spacing w:after="200"/>
        <w:jc w:val="both"/>
      </w:pPr>
      <w:r>
        <w:rPr>
          <w:rFonts w:ascii="Avenir Next LT Pro" w:hAnsi="Avenir Next LT Pro"/>
          <w:b w:val="0"/>
          <w:color w:val="1C4076"/>
          <w:sz w:val="22"/>
        </w:rPr>
        <w:t>The Board of Directors aims to achieve equal gender representation on the Board of Directors in accordance with the Act at the same time balancing the professional competences required.</w:t>
      </w:r>
    </w:p>
    <w:p>
      <w:pPr>
        <w:spacing w:after="200"/>
        <w:jc w:val="both"/>
      </w:pPr>
      <w:r>
        <w:rPr>
          <w:rFonts w:ascii="Avenir Next LT Pro" w:hAnsi="Avenir Next LT Pro"/>
          <w:b w:val="0"/>
          <w:color w:val="1C4076"/>
          <w:sz w:val="22"/>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pPr>
        <w:spacing w:after="200"/>
        <w:jc w:val="both"/>
      </w:pPr>
      <w:r>
        <w:rPr>
          <w:rFonts w:ascii="Avenir Next LT Pro" w:hAnsi="Avenir Next LT Pro"/>
          <w:b w:val="0"/>
          <w:color w:val="1C4076"/>
          <w:sz w:val="22"/>
        </w:rPr>
        <w:t>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w:t>
      </w:r>
    </w:p>
    <w:p>
      <w:pPr>
        <w:pStyle w:val="ListBullet"/>
        <w:spacing w:after="80"/>
      </w:pPr>
      <w:r>
        <w:rPr>
          <w:rFonts w:ascii="Avenir Next LT Pro" w:hAnsi="Avenir Next LT Pro"/>
          <w:b w:val="0"/>
          <w:color w:val="1C4076"/>
          <w:sz w:val="22"/>
        </w:rPr>
        <w:t>striving to ensure representation of both genders among the final candidates when recruiting for management positions</w:t>
      </w:r>
    </w:p>
    <w:p>
      <w:pPr>
        <w:pStyle w:val="ListBullet"/>
        <w:spacing w:after="80"/>
      </w:pPr>
      <w:r>
        <w:rPr>
          <w:rFonts w:ascii="Avenir Next LT Pro" w:hAnsi="Avenir Next LT Pro"/>
          <w:b w:val="0"/>
          <w:color w:val="1C4076"/>
          <w:sz w:val="22"/>
        </w:rPr>
        <w:t>building and monitoring a leadership talent pipeline, where increased diversity at entry management levels supports future diversity in senior management</w:t>
      </w:r>
    </w:p>
    <w:p>
      <w:pPr>
        <w:pStyle w:val="ListBullet"/>
        <w:spacing w:after="80"/>
      </w:pPr>
      <w:r>
        <w:rPr>
          <w:rFonts w:ascii="Avenir Next LT Pro" w:hAnsi="Avenir Next LT Pro"/>
          <w:b w:val="0"/>
          <w:color w:val="1C4076"/>
          <w:sz w:val="22"/>
        </w:rPr>
        <w:t>ensuring that employees experience equal opportunities in respect of career advancement, regardless of gender</w:t>
      </w:r>
    </w:p>
    <w:p>
      <w:pPr>
        <w:pStyle w:val="ListBullet"/>
        <w:spacing w:after="80"/>
      </w:pPr>
      <w:r>
        <w:rPr>
          <w:rFonts w:ascii="Avenir Next LT Pro" w:hAnsi="Avenir Next LT Pro"/>
          <w:b w:val="0"/>
          <w:color w:val="1C4076"/>
          <w:sz w:val="22"/>
        </w:rPr>
        <w:t>promoting remuneration practices that are gender neutral and support the principle of equal pay for equal work or work of equal value</w:t>
      </w:r>
    </w:p>
    <w:p>
      <w:pPr>
        <w:spacing w:after="200"/>
        <w:jc w:val="both"/>
      </w:pPr>
      <w:r>
        <w:rPr>
          <w:rFonts w:ascii="Avenir Next LT Pro" w:hAnsi="Avenir Next LT Pro"/>
          <w:b w:val="0"/>
          <w:color w:val="1C4076"/>
          <w:sz w:val="22"/>
        </w:rPr>
        <w:t>BioMar monitors and reports on gender representation, targets, initiatives and progress in accordance with applicable requirements.</w:t>
      </w:r>
    </w:p>
    <w:p>
      <w:pPr>
        <w:spacing w:after="200"/>
        <w:jc w:val="both"/>
      </w:pPr>
      <w:r>
        <w:rPr>
          <w:rFonts w:ascii="Avenir Next LT Pro" w:hAnsi="Avenir Next LT Pro"/>
          <w:b/>
          <w:color w:val="1C4076"/>
          <w:sz w:val="22"/>
        </w:rPr>
        <w:t>Governance, review and related policies</w:t>
      </w:r>
    </w:p>
    <w:p>
      <w:pPr>
        <w:spacing w:after="200"/>
        <w:jc w:val="both"/>
      </w:pPr>
      <w:r>
        <w:rPr>
          <w:rFonts w:ascii="Avenir Next LT Pro" w:hAnsi="Avenir Next LT Pro"/>
          <w:b w:val="0"/>
          <w:color w:val="1C4076"/>
          <w:sz w:val="22"/>
        </w:rPr>
        <w:t>This policy is approved by the Board of Directors. It is reviewed regularly to reflect changes in laws, best practices, stakeholder expectations and learnings from case handling.</w:t>
      </w:r>
    </w:p>
    <w:p>
      <w:pPr>
        <w:spacing w:after="200"/>
        <w:jc w:val="both"/>
      </w:pPr>
      <w:r>
        <w:rPr>
          <w:rFonts w:ascii="Avenir Next LT Pro" w:hAnsi="Avenir Next LT Pro"/>
          <w:b w:val="0"/>
          <w:color w:val="1C4076"/>
          <w:sz w:val="22"/>
        </w:rPr>
        <w:t>The following policies support the implementation of the BioMar Diversity Policy:</w:t>
      </w:r>
    </w:p>
    <w:p>
      <w:pPr>
        <w:spacing w:after="200"/>
        <w:jc w:val="both"/>
      </w:pPr>
      <w:r>
        <w:rPr>
          <w:rFonts w:ascii="Avenir Next LT Pro" w:hAnsi="Avenir Next LT Pro"/>
          <w:b w:val="0"/>
          <w:color w:val="1C4076"/>
          <w:sz w:val="22"/>
        </w:rPr>
        <w:t>• Code of Conduct.</w:t>
      </w:r>
    </w:p>
    <w:p>
      <w:pPr>
        <w:spacing w:after="200"/>
        <w:jc w:val="both"/>
      </w:pPr>
      <w:r>
        <w:rPr>
          <w:rFonts w:ascii="Avenir Next LT Pro" w:hAnsi="Avenir Next LT Pro"/>
          <w:b w:val="0"/>
          <w:color w:val="1C4076"/>
          <w:sz w:val="22"/>
        </w:rPr>
        <w:t>• Human Rights Policy.</w:t>
      </w:r>
    </w:p>
    <w:p>
      <w:pPr>
        <w:spacing w:after="200"/>
        <w:jc w:val="both"/>
      </w:pPr>
      <w:r>
        <w:rPr>
          <w:rFonts w:ascii="Avenir Next LT Pro" w:hAnsi="Avenir Next LT Pro"/>
          <w:b w:val="0"/>
          <w:color w:val="1C4076"/>
          <w:sz w:val="22"/>
        </w:rPr>
        <w:t>• Responsible Sourcing Policy.</w:t>
      </w:r>
    </w:p>
    <w:p>
      <w:pPr>
        <w:spacing w:after="200"/>
        <w:jc w:val="both"/>
      </w:pPr>
      <w:r>
        <w:rPr>
          <w:rFonts w:ascii="Avenir Next LT Pro" w:hAnsi="Avenir Next LT Pro"/>
          <w:b w:val="0"/>
          <w:color w:val="1C4076"/>
          <w:sz w:val="22"/>
        </w:rPr>
        <w:t>• Supplier Code of Conduct.</w:t>
      </w:r>
    </w:p>
    <w:p>
      <w:pPr>
        <w:spacing w:after="200"/>
        <w:jc w:val="both"/>
      </w:pPr>
      <w:r>
        <w:rPr>
          <w:rFonts w:ascii="Avenir Next LT Pro" w:hAnsi="Avenir Next LT Pro"/>
          <w:b w:val="0"/>
          <w:color w:val="1C4076"/>
          <w:sz w:val="22"/>
        </w:rPr>
        <w:t>• Responsible Employment Policy.</w:t>
      </w:r>
    </w:p>
    <w:p>
      <w:pPr>
        <w:spacing w:after="200"/>
        <w:jc w:val="both"/>
      </w:pPr>
      <w:r>
        <w:rPr>
          <w:rFonts w:ascii="Avenir Next LT Pro" w:hAnsi="Avenir Next LT Pro"/>
          <w:b w:val="0"/>
          <w:color w:val="1C4076"/>
          <w:sz w:val="22"/>
        </w:rPr>
        <w:t>• Compensation Policy.</w:t>
      </w:r>
    </w:p>
    <w:p>
      <w:pPr>
        <w:spacing w:after="200"/>
        <w:jc w:val="both"/>
      </w:pPr>
      <w:r>
        <w:rPr>
          <w:rFonts w:ascii="Avenir Next LT Pro" w:hAnsi="Avenir Next LT Pro"/>
          <w:b w:val="0"/>
          <w:color w:val="1C4076"/>
          <w:sz w:val="22"/>
        </w:rPr>
        <w:t>• Other relevant compliance policies and procedures applicable from time to time.</w:t>
      </w:r>
    </w:p>
    <w:p>
      <w:pPr>
        <w:spacing w:after="200"/>
        <w:jc w:val="both"/>
      </w:pPr>
      <w:r>
        <w:rPr>
          <w:rFonts w:ascii="Avenir Next LT Pro" w:hAnsi="Avenir Next LT Pro"/>
          <w:b w:val="0"/>
          <w:color w:val="1C4076"/>
          <w:sz w:val="22"/>
        </w:rPr>
        <w:t>Approved by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Diversity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