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r>
        <w:t>Incentive pay</w:t>
      </w:r>
    </w:p>
    <w:p>
      <w:r>
        <w:t>The Board of Directors shall not receive any incentive pay from the Company.</w:t>
      </w:r>
    </w:p>
    <w:p>
      <w:r>
        <w:t>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t>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t>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t>Fixed pay</w:t>
      </w:r>
    </w:p>
    <w:p>
      <w:r>
        <w:t>Members of the Executive Management receive a fixed annual cash base salary. The fixed annual cash base salary is consistent with the market level.</w:t>
      </w:r>
    </w:p>
    <w:p>
      <w:r>
        <w:t>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 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w:t>
        <w:tab/>
        <w:t>The short-term incentive consists of a cash-based bonus designed to incentivise and encourage the members of Executive Management to perform in alignment with the Group’s short-term objectives.</w:t>
      </w:r>
    </w:p>
    <w:p>
      <w: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w:t>
        <w:tab/>
        <w:t>The actual payout under the annual cash bonus for a financial year will be decided by the Board of Directors upon recommendation from the Remuneration and Nomination Committee based on</w:t>
      </w:r>
    </w:p>
    <w:p>
      <w:r>
        <w:t>assessment of achievement of the pre-established KPIs.</w:t>
      </w:r>
    </w:p>
    <w:p>
      <w: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w:t>
        <w:tab/>
        <w:t>The long-term incentives are designed to incentivise long-term performance, commitment and retention of the members of Executive Management, as well as to promote alignment of their interests with those of the shareholders.</w:t>
      </w:r>
    </w:p>
    <w:p>
      <w: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w:t>
        <w:tab/>
        <w:t>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(d) The long-term cash-based incentive payout will generally be made following the Board of Directors’ approval of the annual report for the last financial year of the three year performance period.</w:t>
      </w:r>
    </w:p>
    <w:p>
      <w:r>
        <w:t>4.3.5.5</w:t>
        <w:tab/>
        <w:t xml:space="preserve">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(d) The Company intends to use treasury shares to meet its obligations in relation to long-term share- based incentives. The Board of Directors may decide to satisfy a grant in cash if deemed appropriate.</w:t>
      </w:r>
    </w:p>
    <w:p>
      <w:r>
        <w:t>(e) In line with market practice, share-based incentives shall be subject to good leaver and bad leaver provisions.</w:t>
      </w:r>
    </w:p>
    <w:p>
      <w:r>
        <w:t>4.3.6 Adjustment and repayment of incentive-based remuneration</w:t>
      </w:r>
    </w:p>
    <w:p>
      <w: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p>
      <w:r>
        <w:t>As adopted by the Board of Directors of BioMar Group on February 27th 2023 to take effect from March 1st 2023.</w:t>
      </w:r>
    </w:p>
    <w:p>
      <w:r>
        <w:t>_______________________</w:t>
      </w:r>
    </w:p>
    <w:p>
      <w:r>
        <w:t>Jens Bjerg Sørensen</w:t>
      </w:r>
    </w:p>
    <w:p>
      <w:r>
        <w:t>_________________________</w:t>
      </w:r>
    </w:p>
    <w:p>
      <w:r>
        <w:t>______________________</w:t>
      </w:r>
    </w:p>
    <w:p>
      <w:r>
        <w:t>Asbjørn Reinkind</w:t>
      </w:r>
    </w:p>
    <w:p>
      <w:r>
        <w:t>Marianne Kirkegaard</w:t>
      </w:r>
    </w:p>
    <w:p>
      <w:r>
        <w:t>_______________________</w:t>
      </w:r>
    </w:p>
    <w:p>
      <w:r>
        <w:t>__________________________</w:t>
      </w:r>
    </w:p>
    <w:p>
      <w:r>
        <w:t>Jørgen Wisborg</w:t>
      </w:r>
    </w:p>
    <w:p>
      <w:r>
        <w:t>Anders Wilhjelm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