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qpmziyyz.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BioMar Group – Statement on Corporate Governance</w:t>
      </w:r>
    </w:p>
    <w:p>
      <w:pPr>
        <w:spacing w:after="200"/>
        <w:jc w:val="both"/>
      </w:pPr>
      <w:r>
        <w:rPr>
          <w:rFonts w:ascii="Avenir Next LT Pro" w:hAnsi="Avenir Next LT Pro"/>
          <w:b w:val="0"/>
          <w:i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i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Recommendation</w:t>
            </w:r>
          </w:p>
        </w:tc>
        <w:tc>
          <w:tcPr>
            <w:tcW w:type="dxa" w:w="2551"/>
            <w:shd w:val="clear" w:fill="1C4076"/>
          </w:tcPr>
          <w:p>
            <w:r/>
            <w:r>
              <w:rPr>
                <w:rFonts w:ascii="Avenir Next LT Pro" w:hAnsi="Avenir Next LT Pro"/>
                <w:b/>
                <w:i w:val="0"/>
                <w:color w:val="FFFFFF"/>
                <w:sz w:val="17"/>
              </w:rPr>
              <w:t>Complies</w:t>
            </w:r>
          </w:p>
        </w:tc>
        <w:tc>
          <w:tcPr>
            <w:tcW w:type="dxa" w:w="2551"/>
            <w:shd w:val="clear" w:fill="1C4076"/>
          </w:tcPr>
          <w:p>
            <w:r/>
            <w:r>
              <w:rPr>
                <w:rFonts w:ascii="Avenir Next LT Pro" w:hAnsi="Avenir Next LT Pro"/>
                <w:b/>
                <w:i w:val="0"/>
                <w:color w:val="FFFFFF"/>
                <w:sz w:val="17"/>
              </w:rPr>
              <w:t>Explains</w:t>
            </w:r>
          </w:p>
        </w:tc>
        <w:tc>
          <w:tcPr>
            <w:tcW w:type="dxa" w:w="2551"/>
            <w:shd w:val="clear" w:fill="1C4076"/>
          </w:tcPr>
          <w:p>
            <w:r/>
            <w:r>
              <w:rPr>
                <w:rFonts w:ascii="Avenir Next LT Pro" w:hAnsi="Avenir Next LT Pro"/>
                <w:b/>
                <w:i w:val="0"/>
                <w:color w:val="FFFFFF"/>
                <w:sz w:val="17"/>
              </w:rPr>
              <w:t>Explains</w:t>
            </w:r>
          </w:p>
        </w:tc>
      </w:tr>
      <w:tr>
        <w:tc>
          <w:tcPr>
            <w:tcW w:type="dxa" w:w="2551"/>
          </w:tcPr>
          <w:p>
            <w:r/>
            <w:r>
              <w:rPr>
                <w:rFonts w:ascii="Avenir Next LT Pro" w:hAnsi="Avenir Next LT Pro"/>
                <w:b w:val="0"/>
                <w:i w:val="0"/>
                <w:color w:val="1C4076"/>
                <w:sz w:val="17"/>
              </w:rPr>
              <w:t>Recommendation</w:t>
            </w:r>
          </w:p>
        </w:tc>
        <w:tc>
          <w:tcPr>
            <w:tcW w:type="dxa" w:w="2551"/>
          </w:tcPr>
          <w:p>
            <w:r/>
            <w:r>
              <w:rPr>
                <w:rFonts w:ascii="Avenir Next LT Pro" w:hAnsi="Avenir Next LT Pro"/>
                <w:b w:val="0"/>
                <w:i w:val="0"/>
                <w:color w:val="1C4076"/>
                <w:sz w:val="17"/>
              </w:rPr>
              <w:t>Complies</w:t>
            </w:r>
          </w:p>
        </w:tc>
        <w:tc>
          <w:tcPr>
            <w:tcW w:type="dxa" w:w="2551"/>
          </w:tcPr>
          <w:p>
            <w:r/>
            <w:r>
              <w:rPr>
                <w:rFonts w:ascii="Avenir Next LT Pro" w:hAnsi="Avenir Next LT Pro"/>
                <w:b w:val="0"/>
                <w:i w:val="0"/>
                <w:color w:val="1C4076"/>
                <w:sz w:val="17"/>
              </w:rPr>
              <w:t>Why</w:t>
            </w:r>
          </w:p>
        </w:tc>
        <w:tc>
          <w:tcPr>
            <w:tcW w:type="dxa" w:w="2551"/>
          </w:tcPr>
          <w:p>
            <w:r/>
            <w:r>
              <w:rPr>
                <w:rFonts w:ascii="Avenir Next LT Pro" w:hAnsi="Avenir Next LT Pro"/>
                <w:b w:val="0"/>
                <w:i w:val="0"/>
                <w:color w:val="1C4076"/>
                <w:sz w:val="17"/>
              </w:rPr>
              <w:t>How</w:t>
            </w:r>
          </w:p>
        </w:tc>
      </w:tr>
      <w:tr>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r>
      <w:tr>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r>
      <w:tr>
        <w:tc>
          <w:tcPr>
            <w:tcW w:type="dxa" w:w="2551"/>
          </w:tcPr>
          <w:p>
            <w:r/>
            <w:r>
              <w:rPr>
                <w:rFonts w:ascii="Avenir Next LT Pro" w:hAnsi="Avenir Next LT Pro"/>
                <w:b w:val="0"/>
                <w:i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1.1.3. The Committee recommends that the company publishes quarterly reports.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r>
      <w:tr>
        <w:tc>
          <w:tcPr>
            <w:tcW w:type="dxa" w:w="2551"/>
          </w:tcPr>
          <w:p>
            <w:r/>
            <w:r>
              <w:rPr>
                <w:rFonts w:ascii="Avenir Next LT Pro" w:hAnsi="Avenir Next LT Pro"/>
                <w:b w:val="0"/>
                <w:i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r>
      <w:tr>
        <w:tc>
          <w:tcPr>
            <w:tcW w:type="dxa" w:w="2551"/>
          </w:tcPr>
          <w:p>
            <w:r/>
            <w:r>
              <w:rPr>
                <w:rFonts w:ascii="Avenir Next LT Pro" w:hAnsi="Avenir Next LT Pro"/>
                <w:b w:val="0"/>
                <w:i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r>
      <w:tr>
        <w:tc>
          <w:tcPr>
            <w:tcW w:type="dxa" w:w="2551"/>
          </w:tcPr>
          <w:p>
            <w:r/>
            <w:r>
              <w:rPr>
                <w:rFonts w:ascii="Avenir Next LT Pro" w:hAnsi="Avenir Next LT Pro"/>
                <w:b w:val="0"/>
                <w:i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r>
      <w:tr>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r>
      <w:tr>
        <w:tc>
          <w:tcPr>
            <w:tcW w:type="dxa" w:w="2551"/>
          </w:tcPr>
          <w:p>
            <w:r/>
            <w:r>
              <w:rPr>
                <w:rFonts w:ascii="Avenir Next LT Pro" w:hAnsi="Avenir Next LT Pro"/>
                <w:b w:val="0"/>
                <w:i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r>
      <w:tr>
        <w:tc>
          <w:tcPr>
            <w:tcW w:type="dxa" w:w="2551"/>
          </w:tcPr>
          <w:p>
            <w:r/>
            <w:r>
              <w:rPr>
                <w:rFonts w:ascii="Avenir Next LT Pro" w:hAnsi="Avenir Next LT Pro"/>
                <w:b w:val="0"/>
                <w:i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r>
      <w:tr>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r>
      <w:tr>
        <w:tc>
          <w:tcPr>
            <w:tcW w:type="dxa" w:w="2551"/>
          </w:tcPr>
          <w:p>
            <w:r/>
            <w:r>
              <w:rPr>
                <w:rFonts w:ascii="Avenir Next LT Pro" w:hAnsi="Avenir Next LT Pro"/>
                <w:b w:val="0"/>
                <w:i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 the composition of and diversity on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r>
      <w:tr>
        <w:tc>
          <w:tcPr>
            <w:tcW w:type="dxa" w:w="2551"/>
          </w:tcPr>
          <w:p>
            <w:r/>
            <w:r>
              <w:rPr>
                <w:rFonts w:ascii="Avenir Next LT Pro" w:hAnsi="Avenir Next LT Pro"/>
                <w:b w:val="0"/>
                <w:i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r>
      <w:tr>
        <w:tc>
          <w:tcPr>
            <w:tcW w:type="dxa" w:w="2551"/>
          </w:tcPr>
          <w:p>
            <w:r/>
            <w:r>
              <w:rPr>
                <w:rFonts w:ascii="Avenir Next LT Pro" w:hAnsi="Avenir Next LT Pro"/>
                <w:b w:val="0"/>
                <w:i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 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r>
      <w:tr>
        <w:tc>
          <w:tcPr>
            <w:tcW w:type="dxa" w:w="2551"/>
          </w:tcPr>
          <w:p>
            <w:r/>
            <w:r>
              <w:rPr>
                <w:rFonts w:ascii="Avenir Next LT Pro" w:hAnsi="Avenir Next LT Pro"/>
                <w:b w:val="0"/>
                <w:i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i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i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r>
      <w:tr>
        <w:tc>
          <w:tcPr>
            <w:tcW w:type="dxa" w:w="2551"/>
          </w:tcPr>
          <w:p>
            <w:r/>
            <w:r>
              <w:rPr>
                <w:rFonts w:ascii="Avenir Next LT Pro" w:hAnsi="Avenir Next LT Pro"/>
                <w:b w:val="0"/>
                <w:i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r>
      <w:tr>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r>
      <w:tr>
        <w:tc>
          <w:tcPr>
            <w:tcW w:type="dxa" w:w="2551"/>
          </w:tcPr>
          <w:p>
            <w:r/>
            <w:r>
              <w:rPr>
                <w:rFonts w:ascii="Avenir Next LT Pro" w:hAnsi="Avenir Next LT Pro"/>
                <w:b w:val="0"/>
                <w:i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r>
      <w:tr>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r>
      <w:tr>
        <w:tc>
          <w:tcPr>
            <w:tcW w:type="dxa" w:w="2551"/>
          </w:tcPr>
          <w:p>
            <w:r/>
            <w:r>
              <w:rPr>
                <w:rFonts w:ascii="Avenir Next LT Pro" w:hAnsi="Avenir Next LT Pro"/>
                <w:b w:val="0"/>
                <w:i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bl>
    <w:p>
      <w:pPr>
        <w:keepNext/>
        <w:spacing w:before="260" w:after="160"/>
      </w:pPr>
      <w:r>
        <w:rPr>
          <w:rFonts w:ascii="Avenir Next LT Pro" w:hAnsi="Avenir Next LT Pro"/>
          <w:b/>
          <w:i w:val="0"/>
          <w:color w:val="1C4076"/>
          <w:sz w:val="28"/>
        </w:rPr>
        <w:t>Management structure</w:t>
      </w:r>
    </w:p>
    <w:p>
      <w:pPr>
        <w:spacing w:after="200"/>
        <w:jc w:val="both"/>
      </w:pPr>
      <w:r>
        <w:rPr>
          <w:rFonts w:ascii="Avenir Next LT Pro" w:hAnsi="Avenir Next LT Pro"/>
          <w:b w:val="0"/>
          <w:i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i w:val="0"/>
          <w:color w:val="1C4076"/>
          <w:sz w:val="28"/>
        </w:rPr>
        <w:t>Board of Directors</w:t>
      </w:r>
    </w:p>
    <w:p>
      <w:pPr>
        <w:spacing w:after="200"/>
        <w:jc w:val="both"/>
      </w:pPr>
      <w:r>
        <w:rPr>
          <w:rFonts w:ascii="Avenir Next LT Pro" w:hAnsi="Avenir Next LT Pro"/>
          <w:b w:val="0"/>
          <w:i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i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i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i w:val="0"/>
          <w:color w:val="1C4076"/>
          <w:sz w:val="28"/>
        </w:rPr>
        <w:t>Board committees</w:t>
      </w:r>
    </w:p>
    <w:p>
      <w:pPr>
        <w:spacing w:after="200"/>
        <w:jc w:val="both"/>
      </w:pPr>
      <w:r>
        <w:rPr>
          <w:rFonts w:ascii="Avenir Next LT Pro" w:hAnsi="Avenir Next LT Pro"/>
          <w:b w:val="0"/>
          <w:i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i/>
          <w:color w:val="1C4076"/>
          <w:sz w:val="22"/>
        </w:rPr>
        <w:t>Audit Committee</w:t>
      </w:r>
    </w:p>
    <w:p>
      <w:pPr>
        <w:spacing w:after="200"/>
        <w:jc w:val="both"/>
      </w:pPr>
      <w:r>
        <w:rPr>
          <w:rFonts w:ascii="Avenir Next LT Pro" w:hAnsi="Avenir Next LT Pro"/>
          <w:b w:val="0"/>
          <w:i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i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i w:val="0"/>
          <w:color w:val="1C4076"/>
          <w:sz w:val="22"/>
        </w:rPr>
        <w:t>The majority of the members of the Audit Committee are considered independent.</w:t>
      </w:r>
    </w:p>
    <w:p>
      <w:pPr>
        <w:spacing w:after="200"/>
        <w:jc w:val="both"/>
      </w:pPr>
      <w:r>
        <w:rPr>
          <w:rFonts w:ascii="Avenir Next LT Pro" w:hAnsi="Avenir Next LT Pro"/>
          <w:b w:val="0"/>
          <w:i/>
          <w:color w:val="1C4076"/>
          <w:sz w:val="22"/>
        </w:rPr>
        <w:t>Remuneration and Nomination Committee</w:t>
      </w:r>
    </w:p>
    <w:p>
      <w:pPr>
        <w:spacing w:after="200"/>
        <w:jc w:val="both"/>
      </w:pPr>
      <w:r>
        <w:rPr>
          <w:rFonts w:ascii="Avenir Next LT Pro" w:hAnsi="Avenir Next LT Pro"/>
          <w:b w:val="0"/>
          <w:i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i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i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i w:val="0"/>
          <w:color w:val="1C4076"/>
          <w:sz w:val="28"/>
        </w:rPr>
        <w:t>Executive Management</w:t>
      </w:r>
    </w:p>
    <w:p>
      <w:pPr>
        <w:spacing w:after="200"/>
        <w:jc w:val="both"/>
      </w:pPr>
      <w:r>
        <w:rPr>
          <w:rFonts w:ascii="Avenir Next LT Pro" w:hAnsi="Avenir Next LT Pro"/>
          <w:b w:val="0"/>
          <w:i w:val="0"/>
          <w:color w:val="1C4076"/>
          <w:sz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Pr>
          <w:rFonts w:ascii="Avenir Next LT Pro" w:hAnsi="Avenir Next LT Pro"/>
          <w:b w:val="0"/>
          <w:i/>
          <w:color w:val="1C4076"/>
          <w:sz w:val="22"/>
        </w:rPr>
        <w:t>inter alia</w:t>
      </w:r>
      <w:r>
        <w:rPr>
          <w:rFonts w:ascii="Avenir Next LT Pro" w:hAnsi="Avenir Next LT Pro"/>
          <w:b w:val="0"/>
          <w:i w:val="0"/>
          <w:color w:val="1C4076"/>
          <w:sz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i w:val="0"/>
          <w:color w:val="1C4076"/>
          <w:sz w:val="28"/>
        </w:rPr>
        <w:t>Internal control and financial reporting procedures</w:t>
      </w:r>
    </w:p>
    <w:p>
      <w:pPr>
        <w:spacing w:after="200"/>
        <w:jc w:val="both"/>
      </w:pPr>
      <w:r>
        <w:rPr>
          <w:rFonts w:ascii="Avenir Next LT Pro" w:hAnsi="Avenir Next LT Pro"/>
          <w:b w:val="0"/>
          <w:i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i w:val="0"/>
          <w:color w:val="1C4076"/>
          <w:sz w:val="28"/>
        </w:rPr>
        <w:t>Danish Corporate Governance Recommendations</w:t>
      </w:r>
    </w:p>
    <w:p>
      <w:pPr>
        <w:spacing w:after="200"/>
        <w:jc w:val="both"/>
      </w:pPr>
      <w:r>
        <w:rPr>
          <w:rFonts w:ascii="Avenir Next LT Pro" w:hAnsi="Avenir Next LT Pro"/>
          <w:b w:val="0"/>
          <w:i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pPr>
        <w:pStyle w:val="ListBullet"/>
        <w:spacing w:after="80"/>
      </w:pPr>
      <w:r>
        <w:rPr>
          <w:rFonts w:ascii="Avenir Next LT Pro" w:hAnsi="Avenir Next LT Pro"/>
          <w:b w:val="0"/>
          <w:i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