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t2h_jt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i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i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i w:val="0"/>
          <w:color w:val="1C4076"/>
          <w:sz w:val="28"/>
        </w:rPr>
        <w:t>Our commitment</w:t>
      </w:r>
    </w:p>
    <w:p>
      <w:pPr>
        <w:spacing w:after="200"/>
        <w:jc w:val="both"/>
      </w:pPr>
      <w:r>
        <w:rPr>
          <w:rFonts w:ascii="Avenir Next LT Pro" w:hAnsi="Avenir Next LT Pro"/>
          <w:b w:val="0"/>
          <w:i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i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i w:val="0"/>
          <w:color w:val="1C4076"/>
          <w:sz w:val="22"/>
        </w:rPr>
        <w:t>It is our principles that:</w:t>
      </w:r>
    </w:p>
    <w:p>
      <w:pPr>
        <w:pStyle w:val="ListBullet"/>
        <w:spacing w:after="80"/>
      </w:pPr>
      <w:r>
        <w:rPr>
          <w:rFonts w:ascii="Avenir Next LT Pro" w:hAnsi="Avenir Next LT Pro"/>
          <w:b w:val="0"/>
          <w:i w:val="0"/>
          <w:color w:val="1C4076"/>
          <w:sz w:val="22"/>
        </w:rPr>
        <w:t>We strive for diversity, equality, and inclusion at all levels in the organisation</w:t>
      </w:r>
    </w:p>
    <w:p>
      <w:pPr>
        <w:pStyle w:val="ListBullet"/>
        <w:spacing w:after="80"/>
      </w:pPr>
      <w:r>
        <w:rPr>
          <w:rFonts w:ascii="Avenir Next LT Pro" w:hAnsi="Avenir Next LT Pro"/>
          <w:b w:val="0"/>
          <w:i w:val="0"/>
          <w:color w:val="1C4076"/>
          <w:sz w:val="22"/>
        </w:rPr>
        <w:t>We are committed to building a culture recognizing the inherent value of all human beings</w:t>
      </w:r>
    </w:p>
    <w:p>
      <w:pPr>
        <w:pStyle w:val="ListBullet"/>
        <w:spacing w:after="80"/>
      </w:pPr>
      <w:r>
        <w:rPr>
          <w:rFonts w:ascii="Avenir Next LT Pro" w:hAnsi="Avenir Next LT Pro"/>
          <w:b w:val="0"/>
          <w:i w:val="0"/>
          <w:color w:val="1C4076"/>
          <w:sz w:val="22"/>
        </w:rPr>
        <w:t>We strive to be flexible in supporting employee differences</w:t>
      </w:r>
    </w:p>
    <w:p>
      <w:pPr>
        <w:pStyle w:val="ListBullet"/>
        <w:spacing w:after="80"/>
      </w:pPr>
      <w:r>
        <w:rPr>
          <w:rFonts w:ascii="Avenir Next LT Pro" w:hAnsi="Avenir Next LT Pro"/>
          <w:b w:val="0"/>
          <w:i w:val="0"/>
          <w:color w:val="1C4076"/>
          <w:sz w:val="22"/>
        </w:rPr>
        <w:t>We train our managers to understand and act on the importance of diversity</w:t>
      </w:r>
    </w:p>
    <w:p>
      <w:pPr>
        <w:keepNext/>
        <w:spacing w:before="260" w:after="160"/>
      </w:pPr>
      <w:r>
        <w:rPr>
          <w:rFonts w:ascii="Avenir Next LT Pro" w:hAnsi="Avenir Next LT Pro"/>
          <w:b/>
          <w:i w:val="0"/>
          <w:color w:val="1C4076"/>
          <w:sz w:val="28"/>
        </w:rPr>
        <w:t>Inclusion of underrepresented talent</w:t>
      </w:r>
    </w:p>
    <w:p>
      <w:pPr>
        <w:spacing w:after="200"/>
        <w:jc w:val="both"/>
      </w:pPr>
      <w:r>
        <w:rPr>
          <w:rFonts w:ascii="Avenir Next LT Pro" w:hAnsi="Avenir Next LT Pro"/>
          <w:b w:val="0"/>
          <w:i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i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i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i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i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i w:val="0"/>
          <w:color w:val="1C4076"/>
          <w:sz w:val="28"/>
        </w:rPr>
        <w:t>Diversity in management</w:t>
      </w:r>
    </w:p>
    <w:p>
      <w:pPr>
        <w:spacing w:after="200"/>
        <w:jc w:val="both"/>
      </w:pPr>
      <w:r>
        <w:rPr>
          <w:rFonts w:ascii="Avenir Next LT Pro" w:hAnsi="Avenir Next LT Pro"/>
          <w:b w:val="0"/>
          <w:i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i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i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i w:val="0"/>
          <w:color w:val="1C4076"/>
          <w:sz w:val="28"/>
        </w:rPr>
        <w:t>Gender diversity in management</w:t>
      </w:r>
    </w:p>
    <w:p>
      <w:pPr>
        <w:spacing w:after="200"/>
        <w:jc w:val="both"/>
      </w:pPr>
      <w:r>
        <w:rPr>
          <w:rFonts w:ascii="Avenir Next LT Pro" w:hAnsi="Avenir Next LT Pro"/>
          <w:b w:val="0"/>
          <w:i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i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i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i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i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i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i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i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i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i w:val="0"/>
          <w:color w:val="1C4076"/>
          <w:sz w:val="22"/>
        </w:rPr>
        <w:t>Governance, review and related policies</w:t>
      </w:r>
    </w:p>
    <w:p>
      <w:pPr>
        <w:spacing w:after="200"/>
        <w:jc w:val="both"/>
      </w:pPr>
      <w:r>
        <w:rPr>
          <w:rFonts w:ascii="Avenir Next LT Pro" w:hAnsi="Avenir Next LT Pro"/>
          <w:b w:val="0"/>
          <w:i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i w:val="0"/>
          <w:color w:val="1C4076"/>
          <w:sz w:val="22"/>
        </w:rPr>
        <w:t>The following policies support the implementation of the BioMar Diversity Policy:</w:t>
      </w:r>
    </w:p>
    <w:p>
      <w:pPr>
        <w:spacing w:after="200"/>
        <w:jc w:val="both"/>
      </w:pPr>
      <w:r>
        <w:rPr>
          <w:rFonts w:ascii="Avenir Next LT Pro" w:hAnsi="Avenir Next LT Pro"/>
          <w:b w:val="0"/>
          <w:i w:val="0"/>
          <w:color w:val="1C4076"/>
          <w:sz w:val="22"/>
        </w:rPr>
        <w:t>• Code of Conduct.</w:t>
      </w:r>
    </w:p>
    <w:p>
      <w:pPr>
        <w:spacing w:after="200"/>
        <w:jc w:val="both"/>
      </w:pPr>
      <w:r>
        <w:rPr>
          <w:rFonts w:ascii="Avenir Next LT Pro" w:hAnsi="Avenir Next LT Pro"/>
          <w:b w:val="0"/>
          <w:i w:val="0"/>
          <w:color w:val="1C4076"/>
          <w:sz w:val="22"/>
        </w:rPr>
        <w:t>• Human Rights Policy.</w:t>
      </w:r>
    </w:p>
    <w:p>
      <w:pPr>
        <w:spacing w:after="200"/>
        <w:jc w:val="both"/>
      </w:pPr>
      <w:r>
        <w:rPr>
          <w:rFonts w:ascii="Avenir Next LT Pro" w:hAnsi="Avenir Next LT Pro"/>
          <w:b w:val="0"/>
          <w:i w:val="0"/>
          <w:color w:val="1C4076"/>
          <w:sz w:val="22"/>
        </w:rPr>
        <w:t>• Responsible Sourcing Policy.</w:t>
      </w:r>
    </w:p>
    <w:p>
      <w:pPr>
        <w:spacing w:after="200"/>
        <w:jc w:val="both"/>
      </w:pPr>
      <w:r>
        <w:rPr>
          <w:rFonts w:ascii="Avenir Next LT Pro" w:hAnsi="Avenir Next LT Pro"/>
          <w:b w:val="0"/>
          <w:i w:val="0"/>
          <w:color w:val="1C4076"/>
          <w:sz w:val="22"/>
        </w:rPr>
        <w:t>• Supplier Code of Conduct.</w:t>
      </w:r>
    </w:p>
    <w:p>
      <w:pPr>
        <w:spacing w:after="200"/>
        <w:jc w:val="both"/>
      </w:pPr>
      <w:r>
        <w:rPr>
          <w:rFonts w:ascii="Avenir Next LT Pro" w:hAnsi="Avenir Next LT Pro"/>
          <w:b w:val="0"/>
          <w:i w:val="0"/>
          <w:color w:val="1C4076"/>
          <w:sz w:val="22"/>
        </w:rPr>
        <w:t>• Responsible Employment Policy.</w:t>
      </w:r>
    </w:p>
    <w:p>
      <w:pPr>
        <w:spacing w:after="200"/>
        <w:jc w:val="both"/>
      </w:pPr>
      <w:r>
        <w:rPr>
          <w:rFonts w:ascii="Avenir Next LT Pro" w:hAnsi="Avenir Next LT Pro"/>
          <w:b w:val="0"/>
          <w:i w:val="0"/>
          <w:color w:val="1C4076"/>
          <w:sz w:val="22"/>
        </w:rPr>
        <w:t>• Compensation Policy.</w:t>
      </w:r>
    </w:p>
    <w:p>
      <w:pPr>
        <w:spacing w:after="200"/>
        <w:jc w:val="both"/>
      </w:pPr>
      <w:r>
        <w:rPr>
          <w:rFonts w:ascii="Avenir Next LT Pro" w:hAnsi="Avenir Next LT Pro"/>
          <w:b w:val="0"/>
          <w:i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