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a4vjvpw9.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i w:val="0"/>
          <w:color w:val="1C4076"/>
          <w:sz w:val="22"/>
        </w:rPr>
        <w:t>1. Adhere to global human rights standards</w:t>
      </w:r>
    </w:p>
    <w:p>
      <w:pPr>
        <w:spacing w:after="200"/>
        <w:jc w:val="both"/>
      </w:pPr>
      <w:r>
        <w:rPr>
          <w:rFonts w:ascii="Avenir Next LT Pro" w:hAnsi="Avenir Next LT Pro"/>
          <w:b w:val="0"/>
          <w:i w:val="0"/>
          <w:color w:val="1C4076"/>
          <w:sz w:val="22"/>
        </w:rPr>
        <w:t>2. Ensure a robust due diligence</w:t>
      </w:r>
    </w:p>
    <w:p>
      <w:pPr>
        <w:spacing w:after="200"/>
        <w:jc w:val="both"/>
      </w:pPr>
      <w:r>
        <w:rPr>
          <w:rFonts w:ascii="Avenir Next LT Pro" w:hAnsi="Avenir Next LT Pro"/>
          <w:b w:val="0"/>
          <w:i w:val="0"/>
          <w:color w:val="1C4076"/>
          <w:sz w:val="22"/>
        </w:rPr>
        <w:t>3. Provide access to grievance and remedy</w:t>
      </w:r>
    </w:p>
    <w:p>
      <w:pPr>
        <w:keepNext/>
        <w:spacing w:before="260" w:after="160"/>
      </w:pPr>
      <w:r>
        <w:rPr>
          <w:rFonts w:ascii="Avenir Next LT Pro" w:hAnsi="Avenir Next LT Pro"/>
          <w:b/>
          <w:i w:val="0"/>
          <w:color w:val="1C4076"/>
          <w:sz w:val="28"/>
        </w:rPr>
        <w:t>Principle 1: Adhere to global human rights standards</w:t>
      </w:r>
    </w:p>
    <w:p>
      <w:pPr>
        <w:spacing w:after="200"/>
        <w:jc w:val="both"/>
      </w:pPr>
      <w:r>
        <w:rPr>
          <w:rFonts w:ascii="Avenir Next LT Pro" w:hAnsi="Avenir Next LT Pro"/>
          <w:b w:val="0"/>
          <w:i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i w:val="0"/>
          <w:color w:val="1C4076"/>
          <w:sz w:val="22"/>
        </w:rPr>
        <w:t>1. Occupational health and safety</w:t>
      </w:r>
    </w:p>
    <w:p>
      <w:pPr>
        <w:spacing w:after="200"/>
        <w:jc w:val="both"/>
      </w:pPr>
      <w:r>
        <w:rPr>
          <w:rFonts w:ascii="Avenir Next LT Pro" w:hAnsi="Avenir Next LT Pro"/>
          <w:b w:val="0"/>
          <w:i w:val="0"/>
          <w:color w:val="1C4076"/>
          <w:sz w:val="22"/>
        </w:rPr>
        <w:t>2. Labour conditions for our employees and in the value chain</w:t>
      </w:r>
    </w:p>
    <w:p>
      <w:pPr>
        <w:spacing w:after="200"/>
        <w:jc w:val="both"/>
      </w:pPr>
      <w:r>
        <w:rPr>
          <w:rFonts w:ascii="Avenir Next LT Pro" w:hAnsi="Avenir Next LT Pro"/>
          <w:b w:val="0"/>
          <w:i w:val="0"/>
          <w:color w:val="1C4076"/>
          <w:sz w:val="22"/>
        </w:rPr>
        <w:t>3. Community rights, including indigenous communities</w:t>
      </w:r>
    </w:p>
    <w:p>
      <w:pPr>
        <w:spacing w:after="200"/>
        <w:jc w:val="both"/>
      </w:pPr>
      <w:r>
        <w:rPr>
          <w:rFonts w:ascii="Avenir Next LT Pro" w:hAnsi="Avenir Next LT Pro"/>
          <w:b w:val="0"/>
          <w:i w:val="0"/>
          <w:color w:val="1C4076"/>
          <w:sz w:val="22"/>
        </w:rPr>
        <w:t>4. Protection of whistleblowers and access to effective remedy</w:t>
      </w:r>
    </w:p>
    <w:p>
      <w:pPr>
        <w:spacing w:after="200"/>
        <w:jc w:val="both"/>
      </w:pPr>
      <w:r>
        <w:rPr>
          <w:rFonts w:ascii="Avenir Next LT Pro" w:hAnsi="Avenir Next LT Pro"/>
          <w:b w:val="0"/>
          <w:i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i w:val="0"/>
          <w:color w:val="1C4076"/>
          <w:sz w:val="22"/>
        </w:rPr>
        <w:t>Freedom of association and the effective recognition of the right to collective bargaining</w:t>
      </w:r>
    </w:p>
    <w:p>
      <w:pPr>
        <w:pStyle w:val="ListBullet"/>
        <w:spacing w:after="80"/>
      </w:pPr>
      <w:r>
        <w:rPr>
          <w:rFonts w:ascii="Avenir Next LT Pro" w:hAnsi="Avenir Next LT Pro"/>
          <w:b w:val="0"/>
          <w:i w:val="0"/>
          <w:color w:val="1C4076"/>
          <w:sz w:val="22"/>
        </w:rPr>
        <w:t>Elimination of all forms of forced or compulsory labour</w:t>
      </w:r>
    </w:p>
    <w:p>
      <w:pPr>
        <w:pStyle w:val="ListBullet"/>
        <w:spacing w:after="80"/>
      </w:pPr>
      <w:r>
        <w:rPr>
          <w:rFonts w:ascii="Avenir Next LT Pro" w:hAnsi="Avenir Next LT Pro"/>
          <w:b w:val="0"/>
          <w:i w:val="0"/>
          <w:color w:val="1C4076"/>
          <w:sz w:val="22"/>
        </w:rPr>
        <w:t>Effective abolition of child labour</w:t>
      </w:r>
    </w:p>
    <w:p>
      <w:pPr>
        <w:pStyle w:val="ListBullet"/>
        <w:spacing w:after="80"/>
      </w:pPr>
      <w:r>
        <w:rPr>
          <w:rFonts w:ascii="Avenir Next LT Pro" w:hAnsi="Avenir Next LT Pro"/>
          <w:b w:val="0"/>
          <w:i w:val="0"/>
          <w:color w:val="1C4076"/>
          <w:sz w:val="22"/>
        </w:rPr>
        <w:t>Elimination of discrimination in respect of employment and occupation</w:t>
      </w:r>
    </w:p>
    <w:p>
      <w:pPr>
        <w:pStyle w:val="ListBullet"/>
        <w:spacing w:after="80"/>
      </w:pPr>
      <w:r>
        <w:rPr>
          <w:rFonts w:ascii="Avenir Next LT Pro" w:hAnsi="Avenir Next LT Pro"/>
          <w:b w:val="0"/>
          <w:i w:val="0"/>
          <w:color w:val="1C4076"/>
          <w:sz w:val="22"/>
        </w:rPr>
        <w:t>Safe and healthy working environment.</w:t>
      </w:r>
    </w:p>
    <w:p>
      <w:pPr>
        <w:spacing w:after="200"/>
        <w:jc w:val="both"/>
      </w:pPr>
      <w:r>
        <w:rPr>
          <w:rFonts w:ascii="Avenir Next LT Pro" w:hAnsi="Avenir Next LT Pro"/>
          <w:b w:val="0"/>
          <w:i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i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i w:val="0"/>
          <w:color w:val="1C4076"/>
          <w:sz w:val="28"/>
        </w:rPr>
        <w:t>Principle 2: Ensure a robust due diligence</w:t>
      </w:r>
    </w:p>
    <w:p>
      <w:pPr>
        <w:spacing w:after="200"/>
        <w:jc w:val="both"/>
      </w:pPr>
      <w:r>
        <w:rPr>
          <w:rFonts w:ascii="Avenir Next LT Pro" w:hAnsi="Avenir Next LT Pro"/>
          <w:b w:val="0"/>
          <w:i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i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i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i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i w:val="0"/>
          <w:color w:val="1C4076"/>
          <w:sz w:val="28"/>
        </w:rPr>
        <w:t>Principle 3: Provide access to grievance and remedy</w:t>
      </w:r>
    </w:p>
    <w:p>
      <w:pPr>
        <w:spacing w:after="200"/>
        <w:jc w:val="both"/>
      </w:pPr>
      <w:r>
        <w:rPr>
          <w:rFonts w:ascii="Avenir Next LT Pro" w:hAnsi="Avenir Next LT Pro"/>
          <w:b w:val="0"/>
          <w:i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i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i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i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i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i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i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i w:val="0"/>
          <w:color w:val="1C4076"/>
          <w:sz w:val="28"/>
        </w:rPr>
        <w:t>Governance and related policies</w:t>
      </w:r>
    </w:p>
    <w:p>
      <w:pPr>
        <w:spacing w:after="200"/>
        <w:jc w:val="both"/>
      </w:pPr>
      <w:r>
        <w:rPr>
          <w:rFonts w:ascii="Avenir Next LT Pro" w:hAnsi="Avenir Next LT Pro"/>
          <w:b w:val="0"/>
          <w:i w:val="0"/>
          <w:color w:val="1C4076"/>
          <w:sz w:val="22"/>
        </w:rPr>
        <w:t>Governance and oversight of our human rights commitments are embedded across BioMar’s operations.</w:t>
      </w:r>
    </w:p>
    <w:p>
      <w:pPr>
        <w:spacing w:after="200"/>
        <w:jc w:val="both"/>
      </w:pPr>
      <w:r>
        <w:rPr>
          <w:rFonts w:ascii="Avenir Next LT Pro" w:hAnsi="Avenir Next LT Pro"/>
          <w:b w:val="0"/>
          <w:i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i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i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i w:val="0"/>
          <w:color w:val="1C4076"/>
          <w:sz w:val="22"/>
        </w:rPr>
        <w:t>The following policies support the implementation of the Human Rights Policy:</w:t>
      </w:r>
    </w:p>
    <w:p>
      <w:pPr>
        <w:pStyle w:val="ListBullet"/>
        <w:spacing w:after="80"/>
      </w:pPr>
      <w:r>
        <w:rPr>
          <w:rFonts w:ascii="Avenir Next LT Pro" w:hAnsi="Avenir Next LT Pro"/>
          <w:b w:val="0"/>
          <w:i w:val="0"/>
          <w:color w:val="1C4076"/>
          <w:sz w:val="22"/>
        </w:rPr>
        <w:t>Code of Conduct</w:t>
      </w:r>
    </w:p>
    <w:p>
      <w:pPr>
        <w:pStyle w:val="ListBullet"/>
        <w:spacing w:after="80"/>
      </w:pPr>
      <w:r>
        <w:rPr>
          <w:rFonts w:ascii="Avenir Next LT Pro" w:hAnsi="Avenir Next LT Pro"/>
          <w:b w:val="0"/>
          <w:i w:val="0"/>
          <w:color w:val="1C4076"/>
          <w:sz w:val="22"/>
        </w:rPr>
        <w:t>Supplier Code of Conduct</w:t>
      </w:r>
    </w:p>
    <w:p>
      <w:pPr>
        <w:pStyle w:val="ListBullet"/>
        <w:spacing w:after="80"/>
      </w:pPr>
      <w:r>
        <w:rPr>
          <w:rFonts w:ascii="Avenir Next LT Pro" w:hAnsi="Avenir Next LT Pro"/>
          <w:b w:val="0"/>
          <w:i w:val="0"/>
          <w:color w:val="1C4076"/>
          <w:sz w:val="22"/>
        </w:rPr>
        <w:t>Responsible Sourcing Policy</w:t>
      </w:r>
    </w:p>
    <w:p>
      <w:pPr>
        <w:pStyle w:val="ListBullet"/>
        <w:spacing w:after="80"/>
      </w:pPr>
      <w:r>
        <w:rPr>
          <w:rFonts w:ascii="Avenir Next LT Pro" w:hAnsi="Avenir Next LT Pro"/>
          <w:b w:val="0"/>
          <w:i w:val="0"/>
          <w:color w:val="1C4076"/>
          <w:sz w:val="22"/>
        </w:rPr>
        <w:t>Diversity Policy</w:t>
      </w:r>
    </w:p>
    <w:p>
      <w:pPr>
        <w:pStyle w:val="ListBullet"/>
        <w:spacing w:after="80"/>
      </w:pPr>
      <w:r>
        <w:rPr>
          <w:rFonts w:ascii="Avenir Next LT Pro" w:hAnsi="Avenir Next LT Pro"/>
          <w:b w:val="0"/>
          <w:i w:val="0"/>
          <w:color w:val="1C4076"/>
          <w:sz w:val="22"/>
        </w:rPr>
        <w:t>Modern Slavery Policy (Australia and UK)</w:t>
      </w:r>
    </w:p>
    <w:p>
      <w:pPr>
        <w:pStyle w:val="ListBullet"/>
        <w:spacing w:after="80"/>
      </w:pPr>
      <w:r>
        <w:rPr>
          <w:rFonts w:ascii="Avenir Next LT Pro" w:hAnsi="Avenir Next LT Pro"/>
          <w:b w:val="0"/>
          <w:i w:val="0"/>
          <w:color w:val="1C4076"/>
          <w:sz w:val="22"/>
        </w:rPr>
        <w:t>Environmental Policy</w:t>
      </w:r>
    </w:p>
    <w:p>
      <w:pPr>
        <w:pStyle w:val="ListBullet"/>
        <w:spacing w:after="80"/>
      </w:pPr>
      <w:r>
        <w:rPr>
          <w:rFonts w:ascii="Avenir Next LT Pro" w:hAnsi="Avenir Next LT Pro"/>
          <w:b w:val="0"/>
          <w:i w:val="0"/>
          <w:color w:val="1C4076"/>
          <w:sz w:val="22"/>
        </w:rPr>
        <w:t>Health and Safety Policy</w:t>
      </w:r>
    </w:p>
    <w:p>
      <w:pPr>
        <w:pStyle w:val="ListBullet"/>
        <w:spacing w:after="80"/>
      </w:pPr>
      <w:r>
        <w:rPr>
          <w:rFonts w:ascii="Avenir Next LT Pro" w:hAnsi="Avenir Next LT Pro"/>
          <w:b w:val="0"/>
          <w:i w:val="0"/>
          <w:color w:val="1C4076"/>
          <w:sz w:val="22"/>
        </w:rPr>
        <w:t>Responsible Employment Policy</w:t>
      </w:r>
    </w:p>
    <w:p>
      <w:pPr>
        <w:pStyle w:val="ListBullet"/>
        <w:spacing w:after="80"/>
      </w:pPr>
      <w:r>
        <w:rPr>
          <w:rFonts w:ascii="Avenir Next LT Pro" w:hAnsi="Avenir Next LT Pro"/>
          <w:b w:val="0"/>
          <w:i w:val="0"/>
          <w:color w:val="1C4076"/>
          <w:sz w:val="22"/>
        </w:rPr>
        <w:t>Salary Policy</w:t>
      </w:r>
    </w:p>
    <w:p>
      <w:pPr>
        <w:pStyle w:val="ListBullet"/>
        <w:spacing w:after="80"/>
      </w:pPr>
      <w:r>
        <w:rPr>
          <w:rFonts w:ascii="Avenir Next LT Pro" w:hAnsi="Avenir Next LT Pro"/>
          <w:b w:val="0"/>
          <w:i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