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q5zuj6q4.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spacing w:after="200"/>
        <w:jc w:val="both"/>
      </w:pPr>
      <w:r>
        <w:rPr>
          <w:rFonts w:ascii="Avenir Next LT Pro" w:hAnsi="Avenir Next LT Pro"/>
          <w:b/>
          <w:i w:val="0"/>
          <w:color w:val="1C4076"/>
          <w:sz w:val="22"/>
        </w:rPr>
        <w:t>As a global manufacturer of high performance aquafeeds, BioMar strives to meet its customers’ needs and ensure a safe level of protection to human health, associated with the consumption of farmed aquatic species, thereby recognizing its responsibility as supplier into the food chain.</w:t>
      </w:r>
    </w:p>
    <w:p>
      <w:pPr>
        <w:spacing w:after="200"/>
        <w:jc w:val="both"/>
      </w:pPr>
      <w:r>
        <w:rPr>
          <w:rFonts w:ascii="Avenir Next LT Pro" w:hAnsi="Avenir Next LT Pro"/>
          <w:b/>
          <w:i w:val="0"/>
          <w:color w:val="1C4076"/>
          <w:sz w:val="22"/>
        </w:rPr>
        <w:t>Compliance with Quality and Food Safety agreed requirements, is a responsibility for all employees throughout the organization; and is integrated into local management systems involving every stage of manufacture and supply process.</w:t>
      </w:r>
    </w:p>
    <w:p>
      <w:pPr>
        <w:spacing w:after="200"/>
        <w:jc w:val="both"/>
      </w:pPr>
      <w:r>
        <w:rPr>
          <w:rFonts w:ascii="Avenir Next LT Pro" w:hAnsi="Avenir Next LT Pro"/>
          <w:b w:val="0"/>
          <w:i w:val="0"/>
          <w:color w:val="1C4076"/>
          <w:sz w:val="22"/>
        </w:rPr>
        <w:t>At BioMar, we will:</w:t>
      </w:r>
    </w:p>
    <w:p>
      <w:pPr>
        <w:pStyle w:val="ListBullet"/>
        <w:spacing w:after="80"/>
      </w:pPr>
      <w:r>
        <w:rPr>
          <w:rFonts w:ascii="Avenir Next LT Pro" w:hAnsi="Avenir Next LT Pro"/>
          <w:b w:val="0"/>
          <w:i w:val="0"/>
          <w:color w:val="1C4076"/>
          <w:sz w:val="22"/>
        </w:rPr>
        <w:t>Comply with all legal and regulatory requirements governing Quality and Food Safety in the countries where we operate</w:t>
      </w:r>
    </w:p>
    <w:p>
      <w:pPr>
        <w:pStyle w:val="ListBullet"/>
        <w:spacing w:after="80"/>
      </w:pPr>
      <w:r>
        <w:rPr>
          <w:rFonts w:ascii="Avenir Next LT Pro" w:hAnsi="Avenir Next LT Pro"/>
          <w:b w:val="0"/>
          <w:i w:val="0"/>
          <w:color w:val="1C4076"/>
          <w:sz w:val="22"/>
        </w:rPr>
        <w:t>Comply with mutually agreed Quality and Food Safety customer’s requirements</w:t>
      </w:r>
    </w:p>
    <w:p>
      <w:pPr>
        <w:pStyle w:val="ListBullet"/>
        <w:spacing w:after="80"/>
      </w:pPr>
      <w:r>
        <w:rPr>
          <w:rFonts w:ascii="Avenir Next LT Pro" w:hAnsi="Avenir Next LT Pro"/>
          <w:b w:val="0"/>
          <w:i w:val="0"/>
          <w:color w:val="1C4076"/>
          <w:sz w:val="22"/>
        </w:rPr>
        <w:t>Implement local management plans to monitor our performance and compliance with defined objectives</w:t>
      </w:r>
    </w:p>
    <w:p>
      <w:pPr>
        <w:pStyle w:val="ListBullet"/>
        <w:spacing w:after="80"/>
      </w:pPr>
      <w:r>
        <w:rPr>
          <w:rFonts w:ascii="Avenir Next LT Pro" w:hAnsi="Avenir Next LT Pro"/>
          <w:b w:val="0"/>
          <w:i w:val="0"/>
          <w:color w:val="1C4076"/>
          <w:sz w:val="22"/>
        </w:rPr>
        <w:t>Ensure that this policy is communicated, implemented, and maintained at all levels of the organization</w:t>
      </w:r>
    </w:p>
    <w:p>
      <w:pPr>
        <w:pStyle w:val="ListBullet"/>
        <w:spacing w:after="80"/>
      </w:pPr>
      <w:r>
        <w:rPr>
          <w:rFonts w:ascii="Avenir Next LT Pro" w:hAnsi="Avenir Next LT Pro"/>
          <w:b w:val="0"/>
          <w:i w:val="0"/>
          <w:color w:val="1C4076"/>
          <w:sz w:val="22"/>
        </w:rPr>
        <w:t>Raise awareness, encourage participation, and train employees in Quality and Food Safety matters</w:t>
      </w:r>
    </w:p>
    <w:p>
      <w:pPr>
        <w:pStyle w:val="ListBullet"/>
        <w:spacing w:after="80"/>
      </w:pPr>
      <w:r>
        <w:rPr>
          <w:rFonts w:ascii="Avenir Next LT Pro" w:hAnsi="Avenir Next LT Pro"/>
          <w:b w:val="0"/>
          <w:i w:val="0"/>
          <w:color w:val="1C4076"/>
          <w:sz w:val="22"/>
        </w:rPr>
        <w:t>Work with suppliers and customers to align on Quality and Food Safety requirements of our products and services</w:t>
      </w:r>
    </w:p>
    <w:p>
      <w:pPr>
        <w:pStyle w:val="ListBullet"/>
        <w:spacing w:after="80"/>
      </w:pPr>
      <w:r>
        <w:rPr>
          <w:rFonts w:ascii="Avenir Next LT Pro" w:hAnsi="Avenir Next LT Pro"/>
          <w:b w:val="0"/>
          <w:i w:val="0"/>
          <w:color w:val="1C4076"/>
          <w:sz w:val="22"/>
        </w:rPr>
        <w:t>Provide resources for the implementation, maintenance and continual improvement of the local management system and related Standards to which BioMar is certified against</w:t>
      </w:r>
    </w:p>
    <w:p>
      <w:pPr>
        <w:spacing w:after="200"/>
        <w:jc w:val="both"/>
      </w:pPr>
      <w:r>
        <w:rPr>
          <w:rFonts w:ascii="Avenir Next LT Pro" w:hAnsi="Avenir Next LT Pro"/>
          <w:b w:val="0"/>
          <w:i w:val="0"/>
          <w:color w:val="1C4076"/>
          <w:sz w:val="22"/>
        </w:rPr>
        <w:t>This policy applies to all BioMar Group operating companies in which BioMar maintains operational control. It will be periodically reviewed by the BioMar Executive Committee and updated as appropriate to ensure our objectives are achieved. Revisions will be published and brought to the attention of all employees and relevant parties.</w:t>
      </w:r>
    </w:p>
    <w:p/>
    <w:tbl>
      <w:tblPr>
        <w:tblStyle w:val="TableGrid"/>
        <w:tblW w:type="auto" w:w="0"/>
        <w:jc w:val="center"/>
        <w:tblLook w:firstColumn="1" w:firstRow="1" w:lastColumn="0" w:lastRow="0" w:noHBand="0" w:noVBand="1" w:val="04A0"/>
      </w:tblPr>
      <w:tblGrid>
        <w:gridCol w:w="5103"/>
        <w:gridCol w:w="5103"/>
      </w:tblGrid>
      <w:tr>
        <w:tc>
          <w:tcPr>
            <w:tcW w:type="dxa" w:w="5103"/>
            <w:shd w:val="clear" w:fill="1C4076"/>
          </w:tcPr>
          <w:p>
            <w:r>
              <w:rPr>
                <w:rFonts w:ascii="Avenir Next LT Pro" w:hAnsi="Avenir Next LT Pro"/>
                <w:b/>
                <w:i w:val="0"/>
                <w:color w:val="FFFFFF"/>
                <w:sz w:val="20"/>
              </w:rPr>
              <w:t>Version history</w:t>
            </w:r>
          </w:p>
        </w:tc>
        <w:tc>
          <w:tcPr>
            <w:tcW w:type="dxa" w:w="5103"/>
            <w:shd w:val="clear" w:fill="1C4076"/>
          </w:tcPr>
          <w:p>
            <w:r>
              <w:rPr>
                <w:rFonts w:ascii="Avenir Next LT Pro" w:hAnsi="Avenir Next LT Pro"/>
                <w:b/>
                <w:i w:val="0"/>
                <w:color w:val="FFFFFF"/>
                <w:sz w:val="20"/>
              </w:rPr>
              <w:t>Owner and approver</w:t>
            </w:r>
          </w:p>
        </w:tc>
      </w:tr>
      <w:tr>
        <w:tc>
          <w:tcPr>
            <w:tcW w:type="dxa" w:w="5103"/>
          </w:tcPr>
          <w:p>
            <w:r>
              <w:rPr>
                <w:rFonts w:ascii="Avenir Next LT Pro" w:hAnsi="Avenir Next LT Pro"/>
                <w:b/>
                <w:i w:val="0"/>
                <w:color w:val="1C4076"/>
                <w:sz w:val="18"/>
              </w:rPr>
              <w:t xml:space="preserve">Version 1: </w:t>
            </w:r>
            <w:r>
              <w:rPr>
                <w:rFonts w:ascii="Avenir Next LT Pro" w:hAnsi="Avenir Next LT Pro"/>
                <w:b w:val="0"/>
                <w:i w:val="0"/>
                <w:color w:val="1C4076"/>
                <w:sz w:val="18"/>
              </w:rPr>
              <w:t>20-01-2026</w:t>
            </w:r>
          </w:p>
          <w:p>
            <w:r>
              <w:rPr>
                <w:rFonts w:ascii="Avenir Next LT Pro" w:hAnsi="Avenir Next LT Pro"/>
                <w:b/>
                <w:i w:val="0"/>
                <w:color w:val="1C4076"/>
                <w:sz w:val="18"/>
              </w:rPr>
              <w:t xml:space="preserve">Approval date: </w:t>
            </w:r>
            <w:r>
              <w:rPr>
                <w:rFonts w:ascii="Avenir Next LT Pro" w:hAnsi="Avenir Next LT Pro"/>
                <w:b w:val="0"/>
                <w:i w:val="0"/>
                <w:color w:val="1C4076"/>
                <w:sz w:val="18"/>
              </w:rPr>
              <w:t>20-01-2026</w:t>
            </w:r>
          </w:p>
        </w:tc>
        <w:tc>
          <w:tcPr>
            <w:tcW w:type="dxa" w:w="5103"/>
          </w:tcPr>
          <w:p>
            <w:r>
              <w:rPr>
                <w:rFonts w:ascii="Avenir Next LT Pro" w:hAnsi="Avenir Next LT Pro"/>
                <w:b/>
                <w:i w:val="0"/>
                <w:color w:val="1C4076"/>
                <w:sz w:val="18"/>
              </w:rPr>
              <w:t xml:space="preserve">Owner: </w:t>
            </w:r>
            <w:r>
              <w:rPr>
                <w:rFonts w:ascii="Avenir Next LT Pro" w:hAnsi="Avenir Next LT Pro"/>
                <w:b w:val="0"/>
                <w:i w:val="0"/>
                <w:color w:val="1C4076"/>
                <w:sz w:val="18"/>
              </w:rPr>
              <w:t>Global Manufacturing &amp; Technology</w:t>
            </w:r>
          </w:p>
          <w:p>
            <w:r>
              <w:rPr>
                <w:rFonts w:ascii="Avenir Next LT Pro" w:hAnsi="Avenir Next LT Pro"/>
                <w:b/>
                <w:i w:val="0"/>
                <w:color w:val="1C4076"/>
                <w:sz w:val="18"/>
              </w:rPr>
              <w:t xml:space="preserve">Approver: </w:t>
            </w:r>
            <w:r>
              <w:rPr>
                <w:rFonts w:ascii="Avenir Next LT Pro" w:hAnsi="Avenir Next LT Pro"/>
                <w:b w:val="0"/>
                <w:i w:val="0"/>
                <w:color w:val="1C4076"/>
                <w:sz w:val="18"/>
              </w:rPr>
              <w:t>Executive Committee</w:t>
            </w:r>
          </w:p>
        </w:tc>
      </w:tr>
    </w:tbl>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i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i w:val="0"/>
        <w:color w:val="1C4076"/>
        <w:sz w:val="16"/>
      </w:rPr>
      <w:t>BioMar Group</w:t>
    </w:r>
    <w:r>
      <w:br/>
    </w:r>
    <w:r>
      <w:rPr>
        <w:rFonts w:ascii="Avenir Next LT Pro" w:hAnsi="Avenir Next LT Pro"/>
        <w:b w:val="0"/>
        <w:i w:val="0"/>
        <w:color w:val="1C4076"/>
        <w:sz w:val="16"/>
      </w:rPr>
      <w:t>Quality and Food Safety Policy</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