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r>
        <w:t>1.</w:t>
        <w:tab/>
        <w:t>Adhere to global human rights standards</w:t>
      </w:r>
    </w:p>
    <w:p>
      <w:r>
        <w:t>2.</w:t>
        <w:tab/>
        <w:t>Ensure a robust due diligence</w:t>
      </w:r>
    </w:p>
    <w:p>
      <w:r>
        <w:t>3.</w:t>
        <w:tab/>
        <w:t>Provide access to grievance and remedy</w:t>
      </w:r>
    </w:p>
    <w:p>
      <w:pPr>
        <w:pStyle w:val="Heading1"/>
      </w:pPr>
      <w:r>
        <w:t>Principle 1: Adhere to global human rights standards</w:t>
      </w:r>
    </w:p>
    <w:p>
      <w: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r>
        <w:t>1.</w:t>
        <w:tab/>
        <w:t>Occupational health and safety</w:t>
      </w:r>
    </w:p>
    <w:p>
      <w:r>
        <w:t>2.</w:t>
        <w:tab/>
        <w:t>Labour conditions for our employees and in the value chain</w:t>
      </w:r>
    </w:p>
    <w:p>
      <w:r>
        <w:t>3.</w:t>
        <w:tab/>
        <w:t>Community rights, including indigenous communities</w:t>
      </w:r>
    </w:p>
    <w:p>
      <w:r>
        <w:t>4.</w:t>
        <w:tab/>
        <w:t>Protection of whistleblowers and access to effective remedy</w:t>
      </w:r>
    </w:p>
    <w:p>
      <w: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pPr>
      <w:r>
        <w:t>Freedom of association and the effective recognition of the right to collective bargaining</w:t>
      </w:r>
    </w:p>
    <w:p>
      <w:pPr>
        <w:pStyle w:val="ListBullet"/>
      </w:pPr>
      <w:r>
        <w:t>Elimination of all forms of forced or compulsory labour</w:t>
      </w:r>
    </w:p>
    <w:p>
      <w:pPr>
        <w:pStyle w:val="ListBullet"/>
      </w:pPr>
      <w:r>
        <w:t>Effective abolition of child labour</w:t>
      </w:r>
    </w:p>
    <w:p>
      <w:pPr>
        <w:pStyle w:val="ListBullet"/>
      </w:pPr>
      <w:r>
        <w:t>Elimination of discrimination in respect of employment and occupation</w:t>
      </w:r>
    </w:p>
    <w:p>
      <w:pPr>
        <w:pStyle w:val="ListBullet"/>
      </w:pPr>
      <w:r>
        <w:t>Safe and healthy working environment.</w:t>
      </w:r>
    </w:p>
    <w:p>
      <w:r>
        <w:t>These commitments are reflected in our Human Rights Policy and further supported by the associated policies detailed at the end of this document.</w:t>
      </w:r>
    </w:p>
    <w:p>
      <w: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pStyle w:val="Heading1"/>
      </w:pPr>
      <w:r>
        <w:t>Principle 2: Ensure a robust due diligence</w:t>
      </w:r>
    </w:p>
    <w:p>
      <w: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r>
        <w:t>By maintaining a structured and proactive approach, we seek to foster responsible business conduct that respects human and labour rights.</w:t>
      </w:r>
    </w:p>
    <w:p>
      <w:pPr>
        <w:pStyle w:val="Heading1"/>
      </w:pPr>
      <w:r>
        <w:t>Principle 3: Provide access to grievance and remedy</w:t>
      </w:r>
    </w:p>
    <w:p>
      <w: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pStyle w:val="Heading1"/>
      </w:pPr>
      <w:r>
        <w:t>Governance and related policies</w:t>
      </w:r>
    </w:p>
    <w:p>
      <w:r>
        <w:t>Governance and oversight of our human rights commitments are embedded across BioMar’s operations.</w:t>
      </w:r>
    </w:p>
    <w:p>
      <w: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r>
        <w:t>the Ethics Committee via a secure and confidental process, and any investigations will provide feedback to the reporter within a reasonable timeframe and no later than 60 days from acknowledgement, or within the extended timeframe permitted by law for complex cases.</w:t>
      </w:r>
    </w:p>
    <w:p>
      <w:r>
        <w:t>The Human Rights Policy applies to all BioMar companies, including our joint-ventures and is integrated into our broader governance framework. Our Managing Directors are responsible for the implementation in the subsidiaries.</w:t>
      </w:r>
    </w:p>
    <w:p>
      <w:r>
        <w:t>We regularly review the policy and its implementation to ensure alignment with evolving international standards, stakeholder expectations and lessons learned from our due diligence and grievance processes.</w:t>
      </w:r>
    </w:p>
    <w:p>
      <w:r>
        <w:t>The following policies support the implementation of the Human Rights Policy:</w:t>
      </w:r>
    </w:p>
    <w:p>
      <w:pPr>
        <w:pStyle w:val="ListBullet"/>
      </w:pPr>
      <w:r>
        <w:t>Code of Conduct</w:t>
      </w:r>
    </w:p>
    <w:p>
      <w:pPr>
        <w:pStyle w:val="ListBullet"/>
      </w:pPr>
      <w:r>
        <w:t>Supplier Code of Conduct</w:t>
      </w:r>
    </w:p>
    <w:p>
      <w:pPr>
        <w:pStyle w:val="ListBullet"/>
      </w:pPr>
      <w:r>
        <w:t>Responsible Sourcing Policy</w:t>
      </w:r>
    </w:p>
    <w:p>
      <w:pPr>
        <w:pStyle w:val="ListBullet"/>
      </w:pPr>
      <w:r>
        <w:t>Diversity Policy</w:t>
      </w:r>
    </w:p>
    <w:p>
      <w:pPr>
        <w:pStyle w:val="ListBullet"/>
      </w:pPr>
      <w:r>
        <w:t>Modern Slavery Policy</w:t>
      </w:r>
    </w:p>
    <w:p>
      <w:pPr>
        <w:pStyle w:val="ListBullet"/>
      </w:pPr>
      <w:r>
        <w:t>Environmental Policy</w:t>
      </w:r>
    </w:p>
    <w:p>
      <w:pPr>
        <w:pStyle w:val="ListBullet"/>
      </w:pPr>
      <w:r>
        <w:t>Health and Safety Policy</w:t>
      </w:r>
    </w:p>
    <w:p>
      <w:pPr>
        <w:pStyle w:val="ListBullet"/>
      </w:pPr>
      <w:r>
        <w:t>Responsible Employment Policy</w:t>
      </w:r>
    </w:p>
    <w:p>
      <w:pPr>
        <w:pStyle w:val="ListBullet"/>
      </w:pPr>
      <w:r>
        <w:t>Salary Policy</w:t>
      </w:r>
    </w:p>
    <w:p>
      <w:pPr>
        <w:pStyle w:val="ListBullet"/>
      </w:pPr>
      <w:r>
        <w:t>Quality and Food Safety Policy</w:t>
      </w:r>
    </w:p>
    <w:p>
      <w:r>
        <w:t>(Australia and UK)</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2:</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Management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