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pStyle w:val="Heading1"/>
      </w:pPr>
      <w:r>
        <w:t>Principle 1: Travel insurance must be in place</w:t>
      </w:r>
    </w:p>
    <w:p>
      <w: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t>All employees should be able to travel</w:t>
      </w:r>
    </w:p>
    <w:p>
      <w:r>
        <w:t>in a safe and healthy manner.</w:t>
      </w:r>
    </w:p>
    <w:p>
      <w:r>
        <w:t>Cost-consciousness should be practiced</w:t>
      </w:r>
    </w:p>
    <w:p>
      <w:r>
        <w:t>by all employees and managers</w:t>
      </w:r>
    </w:p>
    <w:p>
      <w:r>
        <w:t>Health &amp; Safety Cost-Consciouness</w:t>
      </w:r>
    </w:p>
    <w:tbl>
      <w:tblPr>
        <w:tblStyle w:val="TableGrid"/>
        <w:tblW w:type="auto" w:w="0"/>
        <w:tblLook w:firstColumn="1" w:firstRow="1" w:lastColumn="0" w:lastRow="0" w:noHBand="0" w:noVBand="1" w:val="04A0"/>
      </w:tblPr>
      <w:tblGrid>
        <w:gridCol w:w="2880"/>
        <w:gridCol w:w="2880"/>
        <w:gridCol w:w="2880"/>
      </w:tblGrid>
      <w:tr>
        <w:tc>
          <w:tcPr>
            <w:tcW w:type="dxa" w:w="2880"/>
          </w:tcPr>
          <w:p>
            <w:r>
              <w:t>Travel Support Resource</w:t>
            </w:r>
          </w:p>
        </w:tc>
        <w:tc>
          <w:tcPr>
            <w:tcW w:type="dxa" w:w="2880"/>
          </w:tcPr>
          <w:p>
            <w:r/>
          </w:p>
        </w:tc>
        <w:tc>
          <w:tcPr>
            <w:tcW w:type="dxa" w:w="2880"/>
          </w:tcPr>
          <w:p>
            <w:r/>
          </w:p>
        </w:tc>
      </w:tr>
      <w:tr>
        <w:tc>
          <w:tcPr>
            <w:tcW w:type="dxa" w:w="2880"/>
          </w:tcPr>
          <w:p>
            <w:r>
              <w:t>Destination Information</w:t>
            </w:r>
          </w:p>
        </w:tc>
        <w:tc>
          <w:tcPr>
            <w:tcW w:type="dxa" w:w="2880"/>
          </w:tcPr>
          <w:p>
            <w:r>
              <w:t>Travel Training</w:t>
            </w:r>
          </w:p>
        </w:tc>
        <w:tc>
          <w:tcPr>
            <w:tcW w:type="dxa" w:w="2880"/>
          </w:tcPr>
          <w:p>
            <w:r>
              <w:t>Access to Assistance Centers</w:t>
            </w:r>
          </w:p>
        </w:tc>
      </w:tr>
      <w:tr>
        <w:tc>
          <w:tcPr>
            <w:tcW w:type="dxa" w:w="2880"/>
          </w:tcPr>
          <w:p>
            <w: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2880"/>
          </w:tcPr>
          <w:p>
            <w: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2880"/>
          </w:tcPr>
          <w:p>
            <w: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
      <w: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p>
      <w:r>
        <w:t>We encourage the proactive use of these resources to enhance travel safety and increase peace of mind.</w:t>
      </w:r>
    </w:p>
    <w:p>
      <w:pPr>
        <w:pStyle w:val="Heading1"/>
      </w:pPr>
      <w:r>
        <w:t>Principle 3: Emergency preparedness is a prerequisite</w:t>
      </w:r>
    </w:p>
    <w:p>
      <w: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t>Our partnership with International SOS is a cornerstone of our emergency preparedness strategy. It is essential for employees to know how to access the services before travelling is commenced. Employees</w:t>
      </w:r>
    </w:p>
    <w:p>
      <w:r>
        <w:t>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t>The policy applies to all consolidated companies in BioMar Group. The application of the policy for Joint Ventures is decided by the Board of each entity.</w:t>
      </w:r>
    </w:p>
    <w:p>
      <w:r>
        <w:t>Additional information about the application of the policy can be found in the Travel Policy Implementation Guidelines.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