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ejaeqe3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pPr>
        <w:spacing w:after="200"/>
        <w:jc w:val="both"/>
      </w:pPr>
      <w:r>
        <w:rPr>
          <w:rFonts w:ascii="Avenir Next LT Pro" w:hAnsi="Avenir Next LT Pro"/>
          <w:b w:val="0"/>
          <w:color w:val="1C4076"/>
          <w:sz w:val="22"/>
        </w:rP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pPr>
        <w:spacing w:after="200"/>
        <w:jc w:val="both"/>
      </w:pPr>
      <w:r>
        <w:rPr>
          <w:rFonts w:ascii="Avenir Next LT Pro" w:hAnsi="Avenir Next LT Pro"/>
          <w:b w:val="0"/>
          <w:color w:val="1C4076"/>
          <w:sz w:val="22"/>
        </w:rP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pPr>
        <w:spacing w:after="200"/>
        <w:jc w:val="both"/>
      </w:pPr>
      <w:r>
        <w:rPr>
          <w:rFonts w:ascii="Avenir Next LT Pro" w:hAnsi="Avenir Next LT Pro"/>
          <w:b w:val="0"/>
          <w:color w:val="1C4076"/>
          <w:sz w:val="22"/>
        </w:rP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keepNext/>
        <w:spacing w:before="260" w:after="160"/>
      </w:pPr>
      <w:r>
        <w:rPr>
          <w:rFonts w:ascii="Avenir Next LT Pro" w:hAnsi="Avenir Next LT Pro"/>
          <w:b/>
          <w:color w:val="1C4076"/>
          <w:sz w:val="28"/>
        </w:rPr>
        <w:t>Principle 1: Always seek to replace, reduce and refine (3R)</w:t>
      </w:r>
    </w:p>
    <w:p>
      <w:pPr>
        <w:spacing w:after="200"/>
        <w:jc w:val="both"/>
      </w:pPr>
      <w:r>
        <w:rPr>
          <w:rFonts w:ascii="Avenir Next LT Pro" w:hAnsi="Avenir Next LT Pro"/>
          <w:b w:val="0"/>
          <w:color w:val="1C4076"/>
          <w:sz w:val="22"/>
        </w:rP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keepNext/>
        <w:spacing w:before="260" w:after="160"/>
      </w:pPr>
      <w:r>
        <w:rPr>
          <w:rFonts w:ascii="Avenir Next LT Pro" w:hAnsi="Avenir Next LT Pro"/>
          <w:b/>
          <w:color w:val="1C4076"/>
          <w:sz w:val="28"/>
        </w:rPr>
        <w:t>Principle 2: Ensure optimal conditions</w:t>
      </w:r>
    </w:p>
    <w:p>
      <w:pPr>
        <w:spacing w:after="200"/>
        <w:jc w:val="both"/>
      </w:pPr>
      <w:r>
        <w:rPr>
          <w:rFonts w:ascii="Avenir Next LT Pro" w:hAnsi="Avenir Next LT Pro"/>
          <w:b w:val="0"/>
          <w:color w:val="1C4076"/>
          <w:sz w:val="22"/>
        </w:rP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keepNext/>
        <w:spacing w:before="260" w:after="160"/>
      </w:pPr>
      <w:r>
        <w:rPr>
          <w:rFonts w:ascii="Avenir Next LT Pro" w:hAnsi="Avenir Next LT Pro"/>
          <w:b/>
          <w:color w:val="1C4076"/>
          <w:sz w:val="28"/>
        </w:rPr>
        <w:t>Principle 3: Take care when handling animals</w:t>
      </w:r>
    </w:p>
    <w:p>
      <w:pPr>
        <w:spacing w:after="200"/>
        <w:jc w:val="both"/>
      </w:pPr>
      <w:r>
        <w:rPr>
          <w:rFonts w:ascii="Avenir Next LT Pro" w:hAnsi="Avenir Next LT Pro"/>
          <w:b w:val="0"/>
          <w:color w:val="1C4076"/>
          <w:sz w:val="22"/>
        </w:rP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keepNext/>
        <w:spacing w:before="260" w:after="160"/>
      </w:pPr>
      <w:r>
        <w:rPr>
          <w:rFonts w:ascii="Avenir Next LT Pro" w:hAnsi="Avenir Next LT Pro"/>
          <w:b/>
          <w:color w:val="1C4076"/>
          <w:sz w:val="28"/>
        </w:rPr>
        <w:t>Principle 4: Emergency Preparedness</w:t>
      </w:r>
    </w:p>
    <w:p>
      <w:pPr>
        <w:spacing w:after="200"/>
        <w:jc w:val="both"/>
      </w:pPr>
      <w:r>
        <w:rPr>
          <w:rFonts w:ascii="Avenir Next LT Pro" w:hAnsi="Avenir Next LT Pro"/>
          <w:b w:val="0"/>
          <w:color w:val="1C4076"/>
          <w:sz w:val="22"/>
        </w:rP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keepNext/>
        <w:spacing w:before="260" w:after="160"/>
      </w:pPr>
      <w:r>
        <w:rPr>
          <w:rFonts w:ascii="Avenir Next LT Pro" w:hAnsi="Avenir Next LT Pro"/>
          <w:b/>
          <w:color w:val="1C4076"/>
          <w:sz w:val="28"/>
        </w:rPr>
        <w:t>Governance</w:t>
      </w:r>
    </w:p>
    <w:p>
      <w:pPr>
        <w:spacing w:after="200"/>
        <w:jc w:val="both"/>
      </w:pPr>
      <w:r>
        <w:rPr>
          <w:rFonts w:ascii="Avenir Next LT Pro" w:hAnsi="Avenir Next LT Pro"/>
          <w:b w:val="0"/>
          <w:color w:val="1C4076"/>
          <w:sz w:val="22"/>
        </w:rPr>
        <w:t>The policy for Animal Welfare applies to all BioMar operated companies and supported by processes and procedures. We maintain records, conduct regular audits, and integrate new scientific findings and technological advancements to improve operational practices.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Animal Welfare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