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jpyz4gju.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pPr>
        <w:spacing w:after="200"/>
        <w:jc w:val="both"/>
      </w:pPr>
      <w:r>
        <w:rPr>
          <w:rFonts w:ascii="Avenir Next LT Pro" w:hAnsi="Avenir Next LT Pro"/>
          <w:b w:val="0"/>
          <w:color w:val="1C4076"/>
          <w:sz w:val="22"/>
        </w:rP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pPr>
        <w:spacing w:after="200"/>
        <w:jc w:val="both"/>
      </w:pPr>
      <w:r>
        <w:rPr>
          <w:rFonts w:ascii="Avenir Next LT Pro" w:hAnsi="Avenir Next LT Pro"/>
          <w:b w:val="0"/>
          <w:color w:val="1C4076"/>
          <w:sz w:val="22"/>
        </w:rPr>
        <w:t>Use of medical services must always comply with this policy as well as international standards for human and labour rights and local legislation. This BioMar Group policy for medical services describes:</w:t>
      </w:r>
    </w:p>
    <w:p>
      <w:pPr>
        <w:pStyle w:val="ListBullet"/>
        <w:spacing w:after="80"/>
      </w:pPr>
      <w:r>
        <w:rPr>
          <w:rFonts w:ascii="Avenir Next LT Pro" w:hAnsi="Avenir Next LT Pro"/>
          <w:b w:val="0"/>
          <w:color w:val="1C4076"/>
          <w:sz w:val="22"/>
        </w:rPr>
        <w:t>BioMar Group Policy Statement</w:t>
      </w:r>
    </w:p>
    <w:p>
      <w:pPr>
        <w:pStyle w:val="ListBullet"/>
        <w:spacing w:after="80"/>
      </w:pPr>
      <w:r>
        <w:rPr>
          <w:rFonts w:ascii="Avenir Next LT Pro" w:hAnsi="Avenir Next LT Pro"/>
          <w:b w:val="0"/>
          <w:color w:val="1C4076"/>
          <w:sz w:val="22"/>
        </w:rPr>
        <w:t>How to support and document compliance</w:t>
      </w:r>
    </w:p>
    <w:p>
      <w:pPr>
        <w:spacing w:after="200"/>
        <w:jc w:val="both"/>
      </w:pPr>
      <w:r>
        <w:rPr>
          <w:rFonts w:ascii="Avenir Next LT Pro" w:hAnsi="Avenir Next LT Pro"/>
          <w:b w:val="0"/>
          <w:color w:val="1C4076"/>
          <w:sz w:val="22"/>
        </w:rPr>
        <w:t>This policy is an add-on to our overall HSE policy.</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In BioMar Group it is our policy that:</w:t>
      </w:r>
    </w:p>
    <w:p>
      <w:pPr>
        <w:spacing w:after="200"/>
        <w:jc w:val="both"/>
      </w:pPr>
      <w:r>
        <w:rPr>
          <w:rFonts w:ascii="Avenir Next LT Pro" w:hAnsi="Avenir Next LT Pro"/>
          <w:b w:val="0"/>
          <w:color w:val="1C4076"/>
          <w:sz w:val="22"/>
        </w:rP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keepNext/>
        <w:spacing w:before="260" w:after="160"/>
      </w:pPr>
      <w:r>
        <w:rPr>
          <w:rFonts w:ascii="Avenir Next LT Pro" w:hAnsi="Avenir Next LT Pro"/>
          <w:b/>
          <w:color w:val="1C4076"/>
          <w:sz w:val="28"/>
        </w:rPr>
        <w:t>Contracting medical services</w:t>
      </w:r>
    </w:p>
    <w:p>
      <w:pPr>
        <w:spacing w:after="200"/>
        <w:jc w:val="both"/>
      </w:pPr>
      <w:r>
        <w:rPr>
          <w:rFonts w:ascii="Avenir Next LT Pro" w:hAnsi="Avenir Next LT Pro"/>
          <w:b w:val="0"/>
          <w:color w:val="1C4076"/>
          <w:sz w:val="22"/>
        </w:rPr>
        <w:t>To comply with our HSE Policy as well as local regulations/legislation related to health and safety it will from time to time be relevant to use medical services provided by medical staff.</w:t>
      </w:r>
    </w:p>
    <w:p>
      <w:pPr>
        <w:spacing w:after="200"/>
        <w:jc w:val="both"/>
      </w:pPr>
      <w:r>
        <w:rPr>
          <w:rFonts w:ascii="Avenir Next LT Pro" w:hAnsi="Avenir Next LT Pro"/>
          <w:b w:val="0"/>
          <w:color w:val="1C4076"/>
          <w:sz w:val="22"/>
        </w:rP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pPr>
        <w:spacing w:after="200"/>
        <w:jc w:val="both"/>
      </w:pPr>
      <w:r>
        <w:rPr>
          <w:rFonts w:ascii="Avenir Next LT Pro" w:hAnsi="Avenir Next LT Pro"/>
          <w:b w:val="0"/>
          <w:color w:val="1C4076"/>
          <w:sz w:val="22"/>
        </w:rP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keepNext/>
        <w:spacing w:before="260" w:after="160"/>
      </w:pPr>
      <w:r>
        <w:rPr>
          <w:rFonts w:ascii="Avenir Next LT Pro" w:hAnsi="Avenir Next LT Pro"/>
          <w:b/>
          <w:color w:val="1C4076"/>
          <w:sz w:val="28"/>
        </w:rPr>
        <w:t>Use of medical services during recruitment and onboarding</w:t>
      </w:r>
    </w:p>
    <w:p>
      <w:pPr>
        <w:spacing w:after="200"/>
        <w:jc w:val="both"/>
      </w:pPr>
      <w:r>
        <w:rPr>
          <w:rFonts w:ascii="Avenir Next LT Pro" w:hAnsi="Avenir Next LT Pro"/>
          <w:b w:val="0"/>
          <w:color w:val="1C4076"/>
          <w:sz w:val="22"/>
        </w:rPr>
        <w:t>In BioMar, we might from time to time perform medical checks during recruitment and onboarding for the following purposes:</w:t>
      </w:r>
    </w:p>
    <w:p>
      <w:pPr>
        <w:pStyle w:val="ListBullet"/>
        <w:spacing w:after="80"/>
      </w:pPr>
      <w:r>
        <w:rPr>
          <w:rFonts w:ascii="Avenir Next LT Pro" w:hAnsi="Avenir Next LT Pro"/>
          <w:b w:val="0"/>
          <w:color w:val="1C4076"/>
          <w:sz w:val="22"/>
        </w:rP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spacing w:after="80"/>
      </w:pPr>
      <w:r>
        <w:rPr>
          <w:rFonts w:ascii="Avenir Next LT Pro" w:hAnsi="Avenir Next LT Pro"/>
          <w:b w:val="0"/>
          <w:color w:val="1C4076"/>
          <w:sz w:val="22"/>
        </w:rPr>
        <w:t>Examination and/or self-assessment of health to set insurance premium for specific purposes such as expatriation. The cost of all medical checks must be borne by BioMar. Hence the candidate must never pay any fee related to the recruitment and onboarding process.</w:t>
      </w:r>
    </w:p>
    <w:p>
      <w:pPr>
        <w:spacing w:after="200"/>
        <w:jc w:val="both"/>
      </w:pPr>
      <w:r>
        <w:rPr>
          <w:rFonts w:ascii="Avenir Next LT Pro" w:hAnsi="Avenir Next LT Pro"/>
          <w:b w:val="0"/>
          <w:color w:val="1C4076"/>
          <w:sz w:val="22"/>
        </w:rPr>
        <w:t>We do not accept any of the following medical checks or services during recruitment and onboarding:</w:t>
      </w:r>
    </w:p>
    <w:p>
      <w:pPr>
        <w:pStyle w:val="ListBullet"/>
        <w:spacing w:after="80"/>
      </w:pPr>
      <w:r>
        <w:rPr>
          <w:rFonts w:ascii="Avenir Next LT Pro" w:hAnsi="Avenir Next LT Pro"/>
          <w:b w:val="0"/>
          <w:color w:val="1C4076"/>
          <w:sz w:val="22"/>
        </w:rPr>
        <w:t>Medical check with the purpose of detecting pregnancy or virginity.</w:t>
      </w:r>
    </w:p>
    <w:p>
      <w:pPr>
        <w:pStyle w:val="ListBullet"/>
        <w:spacing w:after="80"/>
      </w:pPr>
      <w:r>
        <w:rPr>
          <w:rFonts w:ascii="Avenir Next LT Pro" w:hAnsi="Avenir Next LT Pro"/>
          <w:b w:val="0"/>
          <w:color w:val="1C4076"/>
          <w:sz w:val="22"/>
        </w:rPr>
        <w:t>Encouragement or practice of forced contraception.</w:t>
      </w:r>
    </w:p>
    <w:p>
      <w:pPr>
        <w:pStyle w:val="ListBullet"/>
        <w:spacing w:after="80"/>
      </w:pPr>
      <w:r>
        <w:rPr>
          <w:rFonts w:ascii="Avenir Next LT Pro" w:hAnsi="Avenir Next LT Pro"/>
          <w:b w:val="0"/>
          <w:color w:val="1C4076"/>
          <w:sz w:val="22"/>
        </w:rPr>
        <w:t>Medical checks which cannot be conducted on/recommended for pregnant women.</w:t>
      </w:r>
    </w:p>
    <w:p>
      <w:pPr>
        <w:pStyle w:val="ListBullet"/>
        <w:spacing w:after="80"/>
      </w:pPr>
      <w:r>
        <w:rPr>
          <w:rFonts w:ascii="Avenir Next LT Pro" w:hAnsi="Avenir Next LT Pro"/>
          <w:b w:val="0"/>
          <w:color w:val="1C4076"/>
          <w:sz w:val="22"/>
        </w:rPr>
        <w:t>Check of health conditions for administrative/office staff, unless onboarding by legislation/regulations requires a medical assessment for equality purposes.</w:t>
      </w:r>
    </w:p>
    <w:p>
      <w:pPr>
        <w:spacing w:after="200"/>
        <w:jc w:val="both"/>
      </w:pPr>
      <w:r>
        <w:rPr>
          <w:rFonts w:ascii="Avenir Next LT Pro" w:hAnsi="Avenir Next LT Pro"/>
          <w:b w:val="0"/>
          <w:color w:val="1C4076"/>
          <w:sz w:val="22"/>
        </w:rP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keepNext/>
        <w:spacing w:before="260" w:after="160"/>
      </w:pPr>
      <w:r>
        <w:rPr>
          <w:rFonts w:ascii="Avenir Next LT Pro" w:hAnsi="Avenir Next LT Pro"/>
          <w:b/>
          <w:color w:val="1C4076"/>
          <w:sz w:val="28"/>
        </w:rPr>
        <w:t>Medical services during employment</w:t>
      </w:r>
    </w:p>
    <w:p>
      <w:pPr>
        <w:spacing w:after="200"/>
        <w:jc w:val="both"/>
      </w:pPr>
      <w:r>
        <w:rPr>
          <w:rFonts w:ascii="Avenir Next LT Pro" w:hAnsi="Avenir Next LT Pro"/>
          <w:b w:val="0"/>
          <w:color w:val="1C4076"/>
          <w:sz w:val="22"/>
        </w:rPr>
        <w:t>During employment, local BioMar companies can decide to offer medical services to the employees as a benefit being part of the remuneration package. These services might consist of:</w:t>
      </w:r>
    </w:p>
    <w:p>
      <w:pPr>
        <w:pStyle w:val="ListBullet"/>
        <w:spacing w:after="80"/>
      </w:pPr>
      <w:r>
        <w:rPr>
          <w:rFonts w:ascii="Avenir Next LT Pro" w:hAnsi="Avenir Next LT Pro"/>
          <w:b w:val="0"/>
          <w:color w:val="1C4076"/>
          <w:sz w:val="22"/>
        </w:rPr>
        <w:t>General medical and well-being checks.</w:t>
      </w:r>
    </w:p>
    <w:p>
      <w:pPr>
        <w:pStyle w:val="ListBullet"/>
        <w:spacing w:after="80"/>
      </w:pPr>
      <w:r>
        <w:rPr>
          <w:rFonts w:ascii="Avenir Next LT Pro" w:hAnsi="Avenir Next LT Pro"/>
          <w:b w:val="0"/>
          <w:color w:val="1C4076"/>
          <w:sz w:val="22"/>
        </w:rPr>
        <w:t>Preventive medical services such as vaccinations and health programs.</w:t>
      </w:r>
    </w:p>
    <w:p>
      <w:pPr>
        <w:pStyle w:val="ListBullet"/>
        <w:spacing w:after="80"/>
      </w:pPr>
      <w:r>
        <w:rPr>
          <w:rFonts w:ascii="Avenir Next LT Pro" w:hAnsi="Avenir Next LT Pro"/>
          <w:b w:val="0"/>
          <w:color w:val="1C4076"/>
          <w:sz w:val="22"/>
        </w:rPr>
        <w:t>Assistance in health-related issues such as physical illness, mental well-being etc.</w:t>
      </w:r>
    </w:p>
    <w:p>
      <w:pPr>
        <w:pStyle w:val="ListBullet"/>
        <w:spacing w:after="80"/>
      </w:pPr>
      <w:r>
        <w:rPr>
          <w:rFonts w:ascii="Avenir Next LT Pro" w:hAnsi="Avenir Next LT Pro"/>
          <w:b w:val="0"/>
          <w:color w:val="1C4076"/>
          <w:sz w:val="22"/>
        </w:rPr>
        <w:t>Examination of health to take on an individual insurance for specific purposes, not being a part of the general group insurance program.</w:t>
      </w:r>
    </w:p>
    <w:p>
      <w:pPr>
        <w:spacing w:after="200"/>
        <w:jc w:val="both"/>
      </w:pPr>
      <w:r>
        <w:rPr>
          <w:rFonts w:ascii="Avenir Next LT Pro" w:hAnsi="Avenir Next LT Pro"/>
          <w:b w:val="0"/>
          <w:color w:val="1C4076"/>
          <w:sz w:val="22"/>
        </w:rPr>
        <w:t>The services can be offered as part of insurance programs as well directly contracted by the company.</w:t>
      </w:r>
    </w:p>
    <w:p>
      <w:pPr>
        <w:spacing w:after="200"/>
        <w:jc w:val="both"/>
      </w:pPr>
      <w:r>
        <w:rPr>
          <w:rFonts w:ascii="Avenir Next LT Pro" w:hAnsi="Avenir Next LT Pro"/>
          <w:b w:val="0"/>
          <w:color w:val="1C4076"/>
          <w:sz w:val="22"/>
        </w:rPr>
        <w:t>BioMar must not receive any documentation or feedback from such medical services offered as a benefit. Any conclusions must be communicated directly to the employee or to the insurance company requiring an examination.</w:t>
      </w:r>
    </w:p>
    <w:p>
      <w:pPr>
        <w:spacing w:after="200"/>
        <w:jc w:val="both"/>
      </w:pPr>
      <w:r>
        <w:rPr>
          <w:rFonts w:ascii="Avenir Next LT Pro" w:hAnsi="Avenir Next LT Pro"/>
          <w:b w:val="0"/>
          <w:color w:val="1C4076"/>
          <w:sz w:val="22"/>
        </w:rPr>
        <w:t>Fit-for-work examinations can be repeated during employment as required by local legislation.</w:t>
      </w:r>
    </w:p>
    <w:p>
      <w:pPr>
        <w:keepNext/>
        <w:spacing w:before="260" w:after="160"/>
      </w:pPr>
      <w:r>
        <w:rPr>
          <w:rFonts w:ascii="Avenir Next LT Pro" w:hAnsi="Avenir Next LT Pro"/>
          <w:b/>
          <w:color w:val="1C4076"/>
          <w:sz w:val="28"/>
        </w:rPr>
        <w:t>Responsibilities</w:t>
      </w:r>
    </w:p>
    <w:p>
      <w:pPr>
        <w:spacing w:after="200"/>
        <w:jc w:val="both"/>
      </w:pPr>
      <w:r>
        <w:rPr>
          <w:rFonts w:ascii="Avenir Next LT Pro" w:hAnsi="Avenir Next LT Pro"/>
          <w:b w:val="0"/>
          <w:color w:val="1C4076"/>
          <w:sz w:val="22"/>
        </w:rPr>
        <w:t>The HR responsible for each legal entity in BioMar is responsible for the compliance with the global policy.</w:t>
      </w:r>
    </w:p>
    <w:p>
      <w:pPr>
        <w:spacing w:after="200"/>
        <w:jc w:val="both"/>
      </w:pPr>
      <w:r>
        <w:rPr>
          <w:rFonts w:ascii="Avenir Next LT Pro" w:hAnsi="Avenir Next LT Pro"/>
          <w:b w:val="0"/>
          <w:color w:val="1C4076"/>
          <w:sz w:val="22"/>
        </w:rP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pPr>
        <w:spacing w:after="200"/>
        <w:jc w:val="both"/>
      </w:pPr>
      <w:r>
        <w:rPr>
          <w:rFonts w:ascii="Avenir Next LT Pro" w:hAnsi="Avenir Next LT Pro"/>
          <w:b w:val="0"/>
          <w:color w:val="1C4076"/>
          <w:sz w:val="22"/>
        </w:rPr>
        <w:t>If no HR function exist in the legal entity, it must be clearly defined which position(s) will perform the responsibilities mentioned in this policy.</w:t>
      </w:r>
    </w:p>
    <w:p>
      <w:pPr>
        <w:keepNext/>
        <w:spacing w:before="260" w:after="160"/>
      </w:pPr>
      <w:r>
        <w:rPr>
          <w:rFonts w:ascii="Avenir Next LT Pro" w:hAnsi="Avenir Next LT Pro"/>
          <w:b/>
          <w:color w:val="1C4076"/>
          <w:sz w:val="28"/>
        </w:rPr>
        <w:t>Grievance</w:t>
      </w:r>
    </w:p>
    <w:p>
      <w:pPr>
        <w:spacing w:after="200"/>
        <w:jc w:val="both"/>
      </w:pPr>
      <w:r>
        <w:rPr>
          <w:rFonts w:ascii="Avenir Next LT Pro" w:hAnsi="Avenir Next LT Pro"/>
          <w:b w:val="0"/>
          <w:color w:val="1C4076"/>
          <w:sz w:val="22"/>
        </w:rPr>
        <w:t>Grievance process related to the performance of medical services must be available in the legal entity as well as at global level. At global level, the whistle-blower line guarantees and documents available grievance process.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w:t>
      </w:r>
    </w:p>
    <w:p>
      <w:pPr>
        <w:spacing w:after="200"/>
        <w:jc w:val="both"/>
      </w:pPr>
      <w:r>
        <w:rPr>
          <w:rFonts w:ascii="Avenir Next LT Pro" w:hAnsi="Avenir Next LT Pro"/>
          <w:b w:val="0"/>
          <w:color w:val="1C4076"/>
          <w:sz w:val="22"/>
        </w:rPr>
        <w:t>(If no date is given, the latest issue applies)</w:t>
      </w:r>
    </w:p>
    <w:p>
      <w:pPr>
        <w:spacing w:after="200"/>
        <w:jc w:val="both"/>
      </w:pPr>
      <w:r>
        <w:rPr>
          <w:rFonts w:ascii="Avenir Next LT Pro" w:hAnsi="Avenir Next LT Pro"/>
          <w:b w:val="0"/>
          <w:color w:val="1C4076"/>
          <w:sz w:val="22"/>
        </w:rPr>
        <w:t>BioMar HSE Policy</w:t>
      </w:r>
    </w:p>
    <w:p>
      <w:pPr>
        <w:keepNext/>
        <w:spacing w:before="260" w:after="160"/>
      </w:pPr>
      <w:r>
        <w:rPr>
          <w:rFonts w:ascii="Avenir Next LT Pro" w:hAnsi="Avenir Next LT Pro"/>
          <w:b/>
          <w:color w:val="1C4076"/>
          <w:sz w:val="28"/>
        </w:rPr>
        <w:t>Changes in relation to previous issues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Issue #</w:t>
            </w:r>
          </w:p>
        </w:tc>
        <w:tc>
          <w:tcPr>
            <w:tcW w:type="dxa" w:w="3402"/>
            <w:shd w:val="clear" w:fill="1C4076"/>
          </w:tcPr>
          <w:p>
            <w:r/>
            <w:r>
              <w:rPr>
                <w:rFonts w:ascii="Avenir Next LT Pro" w:hAnsi="Avenir Next LT Pro"/>
                <w:b/>
                <w:color w:val="FFFFFF"/>
                <w:sz w:val="17"/>
              </w:rPr>
              <w:t>Change</w:t>
            </w:r>
          </w:p>
        </w:tc>
        <w:tc>
          <w:tcPr>
            <w:tcW w:type="dxa" w:w="3402"/>
            <w:shd w:val="clear" w:fill="1C4076"/>
          </w:tcPr>
          <w:p>
            <w:r/>
            <w:r>
              <w:rPr>
                <w:rFonts w:ascii="Avenir Next LT Pro" w:hAnsi="Avenir Next LT Pro"/>
                <w:b/>
                <w:color w:val="FFFFFF"/>
                <w:sz w:val="17"/>
              </w:rPr>
              <w:t>Date of issue</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Medical Service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