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gxdpj4vp.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Establishment and purpose</w:t>
      </w:r>
    </w:p>
    <w:p>
      <w:pPr>
        <w:spacing w:after="200"/>
        <w:jc w:val="both"/>
      </w:pP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spacing w:after="200"/>
        <w:jc w:val="both"/>
      </w:pP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spacing w:after="200"/>
        <w:jc w:val="both"/>
      </w:pP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spacing w:after="200"/>
        <w:jc w:val="both"/>
      </w:pP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spacing w:after="200"/>
        <w:jc w:val="both"/>
      </w:pP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spacing w:before="260" w:after="160"/>
      </w:pPr>
      <w:r>
        <w:rPr>
          <w:rFonts w:ascii="Avenir Next LT Pro" w:hAnsi="Avenir Next LT Pro"/>
          <w:b/>
          <w:i w:val="0"/>
          <w:color w:val="1C4076"/>
          <w:sz w:val="28"/>
        </w:rPr>
        <w:t>Members</w:t>
      </w:r>
    </w:p>
    <w:p>
      <w:pPr>
        <w:spacing w:after="200"/>
        <w:jc w:val="both"/>
      </w:pP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spacing w:after="200"/>
        <w:jc w:val="both"/>
      </w:pPr>
      <w:r>
        <w:rPr>
          <w:rFonts w:ascii="Avenir Next LT Pro" w:hAnsi="Avenir Next LT Pro"/>
          <w:b w:val="0"/>
          <w:i w:val="0"/>
          <w:color w:val="1C4076"/>
          <w:sz w:val="22"/>
        </w:rPr>
        <w:t>The Chief Legal Officer shall act as Chair of the Disclosure Committee.</w:t>
      </w:r>
    </w:p>
    <w:p>
      <w:pPr>
        <w:keepNext/>
        <w:spacing w:before="260" w:after="160"/>
      </w:pPr>
      <w:r>
        <w:rPr>
          <w:rFonts w:ascii="Avenir Next LT Pro" w:hAnsi="Avenir Next LT Pro"/>
          <w:b/>
          <w:i w:val="0"/>
          <w:color w:val="1C4076"/>
          <w:sz w:val="28"/>
        </w:rPr>
        <w:t>Assignments</w:t>
      </w:r>
    </w:p>
    <w:p>
      <w:pPr>
        <w:spacing w:after="200"/>
        <w:jc w:val="both"/>
      </w:pPr>
      <w:r>
        <w:rPr>
          <w:rFonts w:ascii="Avenir Next LT Pro" w:hAnsi="Avenir Next LT Pro"/>
          <w:b w:val="0"/>
          <w:i w:val="0"/>
          <w:color w:val="1C4076"/>
          <w:sz w:val="22"/>
        </w:rPr>
        <w:t>The Disclosure Committee has the following assignments:</w:t>
      </w:r>
    </w:p>
    <w:p>
      <w:pPr>
        <w:spacing w:after="200"/>
        <w:jc w:val="both"/>
      </w:pPr>
      <w:r>
        <w:rPr>
          <w:rFonts w:ascii="Avenir Next LT Pro" w:hAnsi="Avenir Next LT Pro"/>
          <w:b w:val="0"/>
          <w:i w:val="0"/>
          <w:color w:val="1C4076"/>
          <w:sz w:val="22"/>
        </w:rPr>
        <w:t>Identify Inside Information</w:t>
      </w:r>
    </w:p>
    <w:p>
      <w:pPr>
        <w:pStyle w:val="ListBullet"/>
        <w:spacing w:after="80"/>
      </w:pPr>
      <w:r>
        <w:rPr>
          <w:rFonts w:ascii="Avenir Next LT Pro" w:hAnsi="Avenir Next LT Pro"/>
          <w:b w:val="0"/>
          <w:i w:val="0"/>
          <w:color w:val="1C4076"/>
          <w:sz w:val="22"/>
        </w:rPr>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pStyle w:val="ListBullet"/>
        <w:spacing w:after="80"/>
      </w:pPr>
      <w:r>
        <w:rPr>
          <w:rFonts w:ascii="Avenir Next LT Pro" w:hAnsi="Avenir Next LT Pro"/>
          <w:b w:val="0"/>
          <w:i w:val="0"/>
          <w:color w:val="1C4076"/>
          <w:sz w:val="22"/>
        </w:rPr>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pStyle w:val="ListBullet"/>
        <w:spacing w:after="80"/>
      </w:pPr>
      <w:r>
        <w:rPr>
          <w:rFonts w:ascii="Avenir Next LT Pro" w:hAnsi="Avenir Next LT Pro"/>
          <w:b w:val="0"/>
          <w:i w:val="0"/>
          <w:color w:val="1C4076"/>
          <w:sz w:val="22"/>
        </w:rPr>
        <w:t>Monitor and review developments of material events and circumstances to assess whether the matter constitutes Inside Information.</w:t>
      </w:r>
    </w:p>
    <w:p>
      <w:pPr>
        <w:spacing w:after="200"/>
        <w:jc w:val="both"/>
      </w:pPr>
      <w:r>
        <w:rPr>
          <w:rFonts w:ascii="Avenir Next LT Pro" w:hAnsi="Avenir Next LT Pro"/>
          <w:b w:val="0"/>
          <w:i w:val="0"/>
          <w:color w:val="1C4076"/>
          <w:sz w:val="22"/>
        </w:rPr>
        <w:t>Provide recommendations on immediate disclosure or delay of disclosure of Inside Information</w:t>
      </w:r>
    </w:p>
    <w:p>
      <w:pPr>
        <w:pStyle w:val="ListBullet"/>
        <w:spacing w:after="80"/>
      </w:pPr>
      <w:r>
        <w:rPr>
          <w:rFonts w:ascii="Avenir Next LT Pro" w:hAnsi="Avenir Next LT Pro"/>
          <w:b w:val="0"/>
          <w:i w:val="0"/>
          <w:color w:val="1C4076"/>
          <w:sz w:val="22"/>
        </w:rPr>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spacing w:after="200"/>
        <w:jc w:val="both"/>
      </w:pPr>
      <w:r>
        <w:rPr>
          <w:rFonts w:ascii="Avenir Next LT Pro" w:hAnsi="Avenir Next LT Pro"/>
          <w:b w:val="0"/>
          <w:i w:val="0"/>
          <w:color w:val="1C4076"/>
          <w:sz w:val="22"/>
        </w:rPr>
        <w:t>Process for delay of disclosure of Inside Information</w:t>
      </w:r>
    </w:p>
    <w:p>
      <w:pPr>
        <w:pStyle w:val="ListBullet"/>
        <w:spacing w:after="80"/>
      </w:pPr>
      <w:r>
        <w:rPr>
          <w:rFonts w:ascii="Avenir Next LT Pro" w:hAnsi="Avenir Next LT Pro"/>
          <w:b w:val="0"/>
          <w:i w:val="0"/>
          <w:color w:val="1C4076"/>
          <w:sz w:val="22"/>
        </w:rPr>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pStyle w:val="ListBullet"/>
        <w:spacing w:after="80"/>
      </w:pPr>
      <w:r>
        <w:rPr>
          <w:rFonts w:ascii="Avenir Next LT Pro" w:hAnsi="Avenir Next LT Pro"/>
          <w:b w:val="0"/>
          <w:i w:val="0"/>
          <w:color w:val="1C4076"/>
          <w:sz w:val="22"/>
        </w:rPr>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pStyle w:val="ListBullet"/>
        <w:spacing w:after="80"/>
      </w:pPr>
      <w:r>
        <w:rPr>
          <w:rFonts w:ascii="Avenir Next LT Pro" w:hAnsi="Avenir Next LT Pro"/>
          <w:b w:val="0"/>
          <w:i w:val="0"/>
          <w:color w:val="1C4076"/>
          <w:sz w:val="22"/>
        </w:rPr>
        <w:t>Consider and record the date and time when the information is considered Inside Information.</w:t>
      </w:r>
    </w:p>
    <w:p>
      <w:pPr>
        <w:pStyle w:val="ListBullet"/>
        <w:spacing w:after="80"/>
      </w:pPr>
      <w:r>
        <w:rPr>
          <w:rFonts w:ascii="Avenir Next LT Pro" w:hAnsi="Avenir Next LT Pro"/>
          <w:b w:val="0"/>
          <w:i w:val="0"/>
          <w:color w:val="1C4076"/>
          <w:sz w:val="22"/>
        </w:rPr>
        <w:t>Consider when the Inside Information is likely to be disclosed.</w:t>
      </w:r>
    </w:p>
    <w:p>
      <w:pPr>
        <w:pStyle w:val="ListBullet"/>
        <w:spacing w:after="80"/>
      </w:pPr>
      <w:r>
        <w:rPr>
          <w:rFonts w:ascii="Avenir Next LT Pro" w:hAnsi="Avenir Next LT Pro"/>
          <w:b w:val="0"/>
          <w:i w:val="0"/>
          <w:color w:val="1C4076"/>
          <w:sz w:val="22"/>
        </w:rPr>
        <w:t>Prepare and continuously update the Log set out in Schedule 2, and ensure ongoing monitoring of the conditions for delay, including instructions of relevant employees to provide relevant updates to the Disclosure Committee.</w:t>
      </w:r>
    </w:p>
    <w:p>
      <w:pPr>
        <w:pStyle w:val="ListBullet"/>
        <w:spacing w:after="80"/>
      </w:pPr>
      <w:r>
        <w:rPr>
          <w:rFonts w:ascii="Avenir Next LT Pro" w:hAnsi="Avenir Next LT Pro"/>
          <w:b w:val="0"/>
          <w:i w:val="0"/>
          <w:color w:val="1C4076"/>
          <w:sz w:val="22"/>
        </w:rPr>
        <w:t>Ensure that a draft leakage announcement is prepared, if relevant.</w:t>
      </w:r>
    </w:p>
    <w:p>
      <w:pPr>
        <w:pStyle w:val="ListBullet"/>
        <w:spacing w:after="80"/>
      </w:pPr>
      <w:r>
        <w:rPr>
          <w:rFonts w:ascii="Avenir Next LT Pro" w:hAnsi="Avenir Next LT Pro"/>
          <w:b w:val="0"/>
          <w:i w:val="0"/>
          <w:color w:val="1C4076"/>
          <w:sz w:val="22"/>
        </w:rPr>
        <w:t>Assist on disclosure of the leakage announcement or full announcement in the event of a leakage of Inside Information of which disclosure has been delayed or a sufficiently accurate market rumour regarding such Inside Information.</w:t>
      </w:r>
    </w:p>
    <w:p>
      <w:pPr>
        <w:spacing w:after="200"/>
        <w:jc w:val="both"/>
      </w:pPr>
      <w:r>
        <w:rPr>
          <w:rFonts w:ascii="Avenir Next LT Pro" w:hAnsi="Avenir Next LT Pro"/>
          <w:b w:val="0"/>
          <w:i w:val="0"/>
          <w:color w:val="1C4076"/>
          <w:sz w:val="22"/>
        </w:rPr>
        <w:t>Keep majority shareholder informed of Inside Information, including when such Inside Information is delayed</w:t>
      </w:r>
    </w:p>
    <w:p>
      <w:pPr>
        <w:pStyle w:val="ListBullet"/>
        <w:spacing w:after="80"/>
      </w:pPr>
      <w:r>
        <w:rPr>
          <w:rFonts w:ascii="Avenir Next LT Pro" w:hAnsi="Avenir Next LT Pro"/>
          <w:b w:val="0"/>
          <w:i w:val="0"/>
          <w:color w:val="1C4076"/>
          <w:sz w:val="22"/>
        </w:rPr>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spacing w:after="200"/>
        <w:jc w:val="both"/>
      </w:pPr>
      <w:r>
        <w:rPr>
          <w:rFonts w:ascii="Avenir Next LT Pro" w:hAnsi="Avenir Next LT Pro"/>
          <w:b w:val="0"/>
          <w:i w:val="0"/>
          <w:color w:val="1C4076"/>
          <w:sz w:val="22"/>
        </w:rPr>
        <w:t>Process for company announcements and notification of delay</w:t>
      </w:r>
    </w:p>
    <w:p>
      <w:pPr>
        <w:pStyle w:val="ListBullet"/>
        <w:spacing w:after="80"/>
      </w:pPr>
      <w:r>
        <w:rPr>
          <w:rFonts w:ascii="Avenir Next LT Pro" w:hAnsi="Avenir Next LT Pro"/>
          <w:b w:val="0"/>
          <w:i w:val="0"/>
          <w:color w:val="1C4076"/>
          <w:sz w:val="22"/>
        </w:rPr>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pStyle w:val="ListBullet"/>
        <w:spacing w:after="80"/>
      </w:pPr>
      <w:r>
        <w:rPr>
          <w:rFonts w:ascii="Avenir Next LT Pro" w:hAnsi="Avenir Next LT Pro"/>
          <w:b w:val="0"/>
          <w:i w:val="0"/>
          <w:color w:val="1C4076"/>
          <w:sz w:val="22"/>
        </w:rPr>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pStyle w:val="ListBullet"/>
        <w:spacing w:after="80"/>
      </w:pPr>
      <w:r>
        <w:rPr>
          <w:rFonts w:ascii="Avenir Next LT Pro" w:hAnsi="Avenir Next LT Pro"/>
          <w:b w:val="0"/>
          <w:i w:val="0"/>
          <w:color w:val="1C4076"/>
          <w:sz w:val="22"/>
        </w:rPr>
        <w:t>Notify the Danish Financial Supervisory Authority through the Officially Appointed Mechanism (“OAM”) if the disclosure of Inside Information has been delayed using the template notification form and procedure set out in Schedule 3.</w:t>
      </w:r>
    </w:p>
    <w:p>
      <w:pPr>
        <w:pStyle w:val="ListBullet"/>
        <w:spacing w:after="80"/>
      </w:pPr>
      <w:r>
        <w:rPr>
          <w:rFonts w:ascii="Avenir Next LT Pro" w:hAnsi="Avenir Next LT Pro"/>
          <w:b w:val="0"/>
          <w:i w:val="0"/>
          <w:color w:val="1C4076"/>
          <w:sz w:val="22"/>
        </w:rPr>
        <w:t>Prepare an explanation on the fulfilment of the conditions for delay of disclosure in accordance with the Log.</w:t>
      </w:r>
    </w:p>
    <w:p>
      <w:pPr>
        <w:pStyle w:val="ListBullet"/>
        <w:spacing w:after="80"/>
      </w:pPr>
      <w:r>
        <w:rPr>
          <w:rFonts w:ascii="Avenir Next LT Pro" w:hAnsi="Avenir Next LT Pro"/>
          <w:b w:val="0"/>
          <w:i w:val="0"/>
          <w:color w:val="1C4076"/>
          <w:sz w:val="22"/>
        </w:rPr>
        <w:t>Submit the explanation to the Danish Financial Supervisory Authority, if requested, following approval of the explanation by the Executive Management and, if relevant, the Chair of the Board of Directors.</w:t>
      </w:r>
    </w:p>
    <w:p>
      <w:pPr>
        <w:spacing w:after="200"/>
        <w:jc w:val="both"/>
      </w:pPr>
      <w:r>
        <w:rPr>
          <w:rFonts w:ascii="Avenir Next LT Pro" w:hAnsi="Avenir Next LT Pro"/>
          <w:b w:val="0"/>
          <w:i w:val="0"/>
          <w:color w:val="1C4076"/>
          <w:sz w:val="22"/>
        </w:rPr>
        <w:t>Process in relation to financial results and outlook</w:t>
      </w:r>
    </w:p>
    <w:p>
      <w:pPr>
        <w:pStyle w:val="ListBullet"/>
        <w:spacing w:after="80"/>
      </w:pPr>
      <w:r>
        <w:rPr>
          <w:rFonts w:ascii="Avenir Next LT Pro" w:hAnsi="Avenir Next LT Pro"/>
          <w:b w:val="0"/>
          <w:i w:val="0"/>
          <w:color w:val="1C4076"/>
          <w:sz w:val="22"/>
        </w:rPr>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pStyle w:val="ListBullet"/>
        <w:spacing w:after="80"/>
      </w:pPr>
      <w:r>
        <w:rPr>
          <w:rFonts w:ascii="Avenir Next LT Pro" w:hAnsi="Avenir Next LT Pro"/>
          <w:b w:val="0"/>
          <w:i w:val="0"/>
          <w:color w:val="1C4076"/>
          <w:sz w:val="22"/>
        </w:rPr>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spacing w:after="200"/>
        <w:jc w:val="both"/>
      </w:pPr>
      <w:r>
        <w:rPr>
          <w:rFonts w:ascii="Avenir Next LT Pro" w:hAnsi="Avenir Next LT Pro"/>
          <w:b w:val="0"/>
          <w:i w:val="0"/>
          <w:color w:val="1C4076"/>
          <w:sz w:val="22"/>
        </w:rPr>
        <w:t>The Disclosure Committee may delegate specific administrative tasks to designated employees of the Company.</w:t>
      </w:r>
    </w:p>
    <w:p>
      <w:pPr>
        <w:spacing w:after="200"/>
        <w:jc w:val="both"/>
      </w:pP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spacing w:after="200"/>
        <w:jc w:val="both"/>
      </w:pP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spacing w:before="260" w:after="160"/>
      </w:pPr>
      <w:r>
        <w:rPr>
          <w:rFonts w:ascii="Avenir Next LT Pro" w:hAnsi="Avenir Next LT Pro"/>
          <w:b/>
          <w:i w:val="0"/>
          <w:color w:val="1C4076"/>
          <w:sz w:val="28"/>
        </w:rPr>
        <w:t>Meetings</w:t>
      </w:r>
    </w:p>
    <w:p>
      <w:pPr>
        <w:spacing w:after="200"/>
        <w:jc w:val="both"/>
      </w:pPr>
      <w:r>
        <w:rPr>
          <w:rFonts w:ascii="Avenir Next LT Pro" w:hAnsi="Avenir Next LT Pro"/>
          <w:b w:val="0"/>
          <w:i w:val="0"/>
          <w:color w:val="1C4076"/>
          <w:sz w:val="22"/>
        </w:rPr>
        <w:t>The Disclosure Committee meets regularly and on an ad-hoc basis to fulfil its duties.</w:t>
      </w:r>
    </w:p>
    <w:p>
      <w:pPr>
        <w:spacing w:after="200"/>
        <w:jc w:val="both"/>
      </w:pP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spacing w:after="200"/>
        <w:jc w:val="both"/>
      </w:pPr>
      <w:r>
        <w:rPr>
          <w:rFonts w:ascii="Avenir Next LT Pro" w:hAnsi="Avenir Next LT Pro"/>
          <w:b w:val="0"/>
          <w:i w:val="0"/>
          <w:color w:val="1C4076"/>
          <w:sz w:val="22"/>
        </w:rPr>
        <w:t>The Disclosure Committee forms a quorum when at least three of its members are represented.</w:t>
      </w:r>
    </w:p>
    <w:p>
      <w:pPr>
        <w:spacing w:after="200"/>
        <w:jc w:val="both"/>
      </w:pP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spacing w:after="200"/>
        <w:jc w:val="both"/>
      </w:pP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spacing w:before="260" w:after="160"/>
      </w:pPr>
      <w:r>
        <w:rPr>
          <w:rFonts w:ascii="Avenir Next LT Pro" w:hAnsi="Avenir Next LT Pro"/>
          <w:b/>
          <w:i w:val="0"/>
          <w:color w:val="1C4076"/>
          <w:sz w:val="28"/>
        </w:rPr>
        <w:t>Reporting</w:t>
      </w:r>
    </w:p>
    <w:p>
      <w:pPr>
        <w:spacing w:after="200"/>
        <w:jc w:val="both"/>
      </w:pP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spacing w:before="260" w:after="160"/>
      </w:pPr>
      <w:r>
        <w:rPr>
          <w:rFonts w:ascii="Avenir Next LT Pro" w:hAnsi="Avenir Next LT Pro"/>
          <w:b/>
          <w:i w:val="0"/>
          <w:color w:val="1C4076"/>
          <w:sz w:val="28"/>
        </w:rPr>
        <w:t>Confidentiality</w:t>
      </w:r>
    </w:p>
    <w:p>
      <w:pPr>
        <w:spacing w:after="200"/>
        <w:jc w:val="both"/>
      </w:pP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spacing w:before="260" w:after="160"/>
      </w:pPr>
      <w:r>
        <w:rPr>
          <w:rFonts w:ascii="Avenir Next LT Pro" w:hAnsi="Avenir Next LT Pro"/>
          <w:b/>
          <w:i w:val="0"/>
          <w:color w:val="1C4076"/>
          <w:sz w:val="28"/>
        </w:rPr>
        <w:t>Review of Charter</w:t>
      </w:r>
    </w:p>
    <w:p>
      <w:pPr>
        <w:spacing w:after="200"/>
        <w:jc w:val="both"/>
      </w:pP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spacing w:after="200"/>
        <w:jc w:val="both"/>
      </w:pPr>
      <w:r>
        <w:rPr>
          <w:rFonts w:ascii="Avenir Next LT Pro" w:hAnsi="Avenir Next LT Pro"/>
          <w:b w:val="0"/>
          <w:i w:val="0"/>
          <w:color w:val="1C4076"/>
          <w:sz w:val="22"/>
        </w:rPr>
        <w:t>This Disclosure Committee Charter has been approved by the Executive Management on 19 May 2026.</w:t>
      </w:r>
    </w:p>
    <w:p>
      <w:pPr>
        <w:keepNext/>
        <w:spacing w:before="260" w:after="160"/>
      </w:pPr>
      <w:r>
        <w:rPr>
          <w:rFonts w:ascii="Avenir Next LT Pro" w:hAnsi="Avenir Next LT Pro"/>
          <w:b/>
          <w:i w:val="0"/>
          <w:color w:val="1C4076"/>
          <w:sz w:val="28"/>
        </w:rPr>
        <w:t>Schedule 1 – Definition of Inside Information</w:t>
      </w:r>
    </w:p>
    <w:p>
      <w:pPr>
        <w:spacing w:after="200"/>
        <w:jc w:val="both"/>
      </w:pPr>
      <w:r>
        <w:rPr>
          <w:rFonts w:ascii="Avenir Next LT Pro" w:hAnsi="Avenir Next LT Pro"/>
          <w:b w:val="0"/>
          <w:i w:val="0"/>
          <w:color w:val="1C4076"/>
          <w:sz w:val="22"/>
        </w:rPr>
        <w:t>Inside Information is information which is:</w:t>
      </w:r>
    </w:p>
    <w:p>
      <w:pPr>
        <w:pStyle w:val="ListBullet"/>
        <w:spacing w:after="80"/>
      </w:pPr>
      <w:r>
        <w:rPr>
          <w:rFonts w:ascii="Avenir Next LT Pro" w:hAnsi="Avenir Next LT Pro"/>
          <w:b w:val="0"/>
          <w:i w:val="0"/>
          <w:color w:val="1C4076"/>
          <w:sz w:val="22"/>
        </w:rPr>
        <w:t>Non-public;</w:t>
      </w:r>
    </w:p>
    <w:p>
      <w:pPr>
        <w:pStyle w:val="ListBullet"/>
        <w:spacing w:after="80"/>
      </w:pPr>
      <w:r>
        <w:rPr>
          <w:rFonts w:ascii="Avenir Next LT Pro" w:hAnsi="Avenir Next LT Pro"/>
          <w:b w:val="0"/>
          <w:i w:val="0"/>
          <w:color w:val="1C4076"/>
          <w:sz w:val="22"/>
        </w:rPr>
        <w:t>Precise;</w:t>
      </w:r>
    </w:p>
    <w:p>
      <w:pPr>
        <w:pStyle w:val="ListBullet"/>
        <w:spacing w:after="80"/>
      </w:pPr>
      <w:r>
        <w:rPr>
          <w:rFonts w:ascii="Avenir Next LT Pro" w:hAnsi="Avenir Next LT Pro"/>
          <w:b w:val="0"/>
          <w:i w:val="0"/>
          <w:color w:val="1C4076"/>
          <w:sz w:val="22"/>
        </w:rPr>
        <w:t>Relates directly or indirectly to BioMar Group A/S or BioMar Group A/S’ Financial Instruments; and</w:t>
      </w:r>
    </w:p>
    <w:p>
      <w:pPr>
        <w:pStyle w:val="ListBullet"/>
        <w:spacing w:after="80"/>
      </w:pPr>
      <w:r>
        <w:rPr>
          <w:rFonts w:ascii="Avenir Next LT Pro" w:hAnsi="Avenir Next LT Pro"/>
          <w:b w:val="0"/>
          <w:i w:val="0"/>
          <w:color w:val="1C4076"/>
          <w:sz w:val="22"/>
        </w:rPr>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spacing w:before="260" w:after="160"/>
      </w:pPr>
      <w:r>
        <w:rPr>
          <w:rFonts w:ascii="Avenir Next LT Pro" w:hAnsi="Avenir Next LT Pro"/>
          <w:b/>
          <w:i w:val="0"/>
          <w:color w:val="1C4076"/>
          <w:sz w:val="28"/>
        </w:rPr>
        <w:t>Schedule 2 – Log for monitoring events or circumstances which may constitute Inside Information</w:t>
      </w:r>
    </w:p>
    <w:p>
      <w:pPr>
        <w:spacing w:after="200"/>
        <w:jc w:val="both"/>
      </w:pP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spacing w:after="200"/>
        <w:jc w:val="both"/>
      </w:pP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spacing w:after="200"/>
        <w:jc w:val="both"/>
      </w:pP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spacing w:before="260" w:after="160"/>
      </w:pPr>
      <w:r>
        <w:rPr>
          <w:rFonts w:ascii="Avenir Next LT Pro" w:hAnsi="Avenir Next LT Pro"/>
          <w:b/>
          <w:i w:val="0"/>
          <w:color w:val="1C4076"/>
          <w:sz w:val="28"/>
        </w:rPr>
        <w:t>Schedule 3 – Notification of delayed disclosure of Inside Information</w:t>
      </w:r>
    </w:p>
    <w:p>
      <w:pPr>
        <w:spacing w:after="20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pStyle w:val="ListBullet"/>
        <w:spacing w:after="80"/>
      </w:pPr>
      <w:r>
        <w:rPr>
          <w:rFonts w:ascii="Avenir Next LT Pro" w:hAnsi="Avenir Next LT Pro"/>
          <w:b w:val="0"/>
          <w:i w:val="0"/>
          <w:color w:val="1C4076"/>
          <w:sz w:val="22"/>
        </w:rPr>
        <w:t>The identity of the issuer</w:t>
      </w:r>
    </w:p>
    <w:p>
      <w:pPr>
        <w:spacing w:after="20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shd w:val="clear" w:fill="1C4076"/>
          </w:tcPr>
          <w:p>
            <w:r/>
            <w:r>
              <w:rPr>
                <w:rFonts w:ascii="Avenir Next LT Pro" w:hAnsi="Avenir Next LT Pro"/>
                <w:b/>
                <w:i w:val="0"/>
                <w:color w:val="FFFFFF"/>
                <w:sz w:val="17"/>
              </w:rPr>
              <w:t>BioMar Group A/S, CVR no. 38 57 06 17</w:t>
            </w:r>
          </w:p>
        </w:tc>
      </w:tr>
    </w:tbl>
    <w:p>
      <w:pPr>
        <w:pStyle w:val="ListBullet"/>
        <w:spacing w:after="80"/>
      </w:pP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p>
      <w:pPr>
        <w:pStyle w:val="ListBullet"/>
        <w:spacing w:after="80"/>
      </w:pP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p>
      <w:pPr>
        <w:pStyle w:val="ListBullet"/>
        <w:spacing w:after="80"/>
      </w:pPr>
      <w:r>
        <w:rPr>
          <w:rFonts w:ascii="Avenir Next LT Pro" w:hAnsi="Avenir Next LT Pro"/>
          <w:b w:val="0"/>
          <w:i w:val="0"/>
          <w:color w:val="1C4076"/>
          <w:sz w:val="22"/>
        </w:rPr>
        <w:t>Date and time of the decision to delay disclosure of Inside Information:</w:t>
      </w:r>
    </w:p>
    <w:p>
      <w:pPr>
        <w:pStyle w:val="ListBullet"/>
        <w:spacing w:after="80"/>
      </w:pP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