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w:t>
        <w:tab/>
        <w:t>Adhere to global human rights standards</w:t>
      </w:r>
    </w:p>
    <w:p>
      <w:r>
        <w:t>2.</w:t>
        <w:tab/>
        <w:t>Ensure a robust due diligence</w:t>
      </w:r>
    </w:p>
    <w:p>
      <w:r>
        <w:t>3.</w:t>
        <w:tab/>
        <w:t>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r>
        <w:t>1.</w:t>
        <w:tab/>
        <w:t>Occupational health and safety</w:t>
      </w:r>
    </w:p>
    <w:p>
      <w:r>
        <w:t>2.</w:t>
        <w:tab/>
        <w:t>Labour conditions for our employees and in the value chain</w:t>
      </w:r>
    </w:p>
    <w:p>
      <w:r>
        <w:t>3.</w:t>
        <w:tab/>
        <w:t>Community rights, including indigenous communities</w:t>
      </w:r>
    </w:p>
    <w:p>
      <w:r>
        <w:t>4.</w:t>
        <w:tab/>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that respects human and labour rights.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Ethics Committee via a secure and confidental process, and any investigations will provide feedback to the reporter within a reasonable timeframe and no later than 60 days from acknowledgement, or within the extended timeframe permitted by law for complex cases.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r>
        <w:t>(Australia and UK)</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