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ds2x9y8f.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color w:val="1C4076"/>
          <w:sz w:val="22"/>
        </w:rPr>
        <w:t xml:space="preserve">Articles of </w:t>
        <w:br/>
        <w:t>Association</w:t>
      </w:r>
    </w:p>
    <w:p>
      <w:pPr>
        <w:keepNext/>
        <w:spacing w:before="260" w:after="160"/>
      </w:pPr>
      <w:r>
        <w:rPr>
          <w:rFonts w:ascii="Avenir Next LT Pro" w:hAnsi="Avenir Next LT Pro"/>
          <w:b/>
          <w:color w:val="1C4076"/>
          <w:sz w:val="28"/>
        </w:rPr>
        <w:t>Name and objects</w:t>
      </w:r>
    </w:p>
    <w:p>
      <w:pPr>
        <w:spacing w:after="200"/>
        <w:jc w:val="both"/>
      </w:pPr>
      <w:r>
        <w:rPr>
          <w:rFonts w:ascii="Avenir Next LT Pro" w:hAnsi="Avenir Next LT Pro"/>
          <w:b w:val="0"/>
          <w:color w:val="1C4076"/>
          <w:sz w:val="22"/>
        </w:rPr>
        <w:t>1.1  The Company’s name is BioMar Group A/S.</w:t>
      </w:r>
    </w:p>
    <w:p>
      <w:pPr>
        <w:spacing w:after="200"/>
        <w:jc w:val="both"/>
      </w:pPr>
      <w:r>
        <w:rPr>
          <w:rFonts w:ascii="Avenir Next LT Pro" w:hAnsi="Avenir Next LT Pro"/>
          <w:b w:val="0"/>
          <w:color w:val="1C4076"/>
          <w:sz w:val="22"/>
        </w:rPr>
        <w:t>1.2  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color w:val="1C4076"/>
          <w:sz w:val="28"/>
        </w:rPr>
        <w:t>Share capital and shares</w:t>
      </w:r>
    </w:p>
    <w:p>
      <w:pPr>
        <w:spacing w:after="200"/>
        <w:jc w:val="both"/>
      </w:pPr>
      <w:r>
        <w:rPr>
          <w:rFonts w:ascii="Avenir Next LT Pro" w:hAnsi="Avenir Next LT Pro"/>
          <w:b w:val="0"/>
          <w:color w:val="1C4076"/>
          <w:sz w:val="22"/>
        </w:rPr>
        <w:t>2.1  The Company’s nominal share capital is DKK 250,000,000 divided into shares of DKK 2.50 each or multiples thereof.</w:t>
      </w:r>
    </w:p>
    <w:p>
      <w:pPr>
        <w:spacing w:after="200"/>
        <w:jc w:val="both"/>
      </w:pPr>
      <w:r>
        <w:rPr>
          <w:rFonts w:ascii="Avenir Next LT Pro" w:hAnsi="Avenir Next LT Pro"/>
          <w:b w:val="0"/>
          <w:color w:val="1C4076"/>
          <w:sz w:val="22"/>
        </w:rPr>
        <w:t>2.2  The share capital has been fully paid up.</w:t>
      </w:r>
    </w:p>
    <w:p>
      <w:pPr>
        <w:spacing w:after="200"/>
        <w:jc w:val="both"/>
      </w:pPr>
      <w:r>
        <w:rPr>
          <w:rFonts w:ascii="Avenir Next LT Pro" w:hAnsi="Avenir Next LT Pro"/>
          <w:b w:val="0"/>
          <w:color w:val="1C4076"/>
          <w:sz w:val="22"/>
        </w:rPr>
        <w:t>2.3  The shares shall be issued in the name of the holder and shall be recorded in the name of the holder in the Company’s register of shareholders.</w:t>
      </w:r>
    </w:p>
    <w:p>
      <w:pPr>
        <w:spacing w:after="200"/>
        <w:jc w:val="both"/>
      </w:pPr>
      <w:r>
        <w:rPr>
          <w:rFonts w:ascii="Avenir Next LT Pro" w:hAnsi="Avenir Next LT Pro"/>
          <w:b w:val="0"/>
          <w:color w:val="1C4076"/>
          <w:sz w:val="22"/>
        </w:rPr>
        <w:t>2.4  The register of shareholders is kept by VP Securities A/S, company reg. (CVR) no. 21 59 93 36.</w:t>
      </w:r>
    </w:p>
    <w:p>
      <w:pPr>
        <w:spacing w:after="200"/>
        <w:jc w:val="both"/>
      </w:pPr>
      <w:r>
        <w:rPr>
          <w:rFonts w:ascii="Avenir Next LT Pro" w:hAnsi="Avenir Next LT Pro"/>
          <w:b w:val="0"/>
          <w:color w:val="1C4076"/>
          <w:sz w:val="22"/>
        </w:rPr>
        <w:t>2.5  The shares are negotiable instruments. No restrictions shall apply to the transferability of the shares.</w:t>
      </w:r>
    </w:p>
    <w:p>
      <w:pPr>
        <w:spacing w:after="200"/>
        <w:jc w:val="both"/>
      </w:pPr>
      <w:r>
        <w:rPr>
          <w:rFonts w:ascii="Avenir Next LT Pro" w:hAnsi="Avenir Next LT Pro"/>
          <w:b w:val="0"/>
          <w:color w:val="1C4076"/>
          <w:sz w:val="22"/>
        </w:rPr>
        <w:t>2.6 No shares shall carry special rights.</w:t>
      </w:r>
    </w:p>
    <w:p>
      <w:pPr>
        <w:spacing w:after="200"/>
        <w:jc w:val="both"/>
      </w:pPr>
      <w:r>
        <w:rPr>
          <w:rFonts w:ascii="Avenir Next LT Pro" w:hAnsi="Avenir Next LT Pro"/>
          <w:b w:val="0"/>
          <w:color w:val="1C4076"/>
          <w:sz w:val="22"/>
        </w:rPr>
        <w:t>2.7 No shareholder shall be under an obligation to have his/her shares redeemed in full or in part by the Company or by any third party.</w:t>
      </w:r>
    </w:p>
    <w:p>
      <w:pPr>
        <w:spacing w:after="200"/>
        <w:jc w:val="both"/>
      </w:pPr>
      <w:r>
        <w:rPr>
          <w:rFonts w:ascii="Avenir Next LT Pro" w:hAnsi="Avenir Next LT Pro"/>
          <w:b w:val="0"/>
          <w:color w:val="1C4076"/>
          <w:sz w:val="22"/>
        </w:rPr>
        <w:t>2.8 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color w:val="1C4076"/>
          <w:sz w:val="28"/>
        </w:rPr>
        <w:t>Authorisations to increase share capital</w:t>
      </w:r>
    </w:p>
    <w:p>
      <w:pPr>
        <w:spacing w:after="200"/>
        <w:jc w:val="both"/>
      </w:pPr>
      <w:r>
        <w:rPr>
          <w:rFonts w:ascii="Avenir Next LT Pro" w:hAnsi="Avenir Next LT Pro"/>
          <w:b w:val="0"/>
          <w:color w:val="1C4076"/>
          <w:sz w:val="22"/>
        </w:rPr>
        <w:t>3.1 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spacing w:after="200"/>
        <w:jc w:val="both"/>
      </w:pPr>
      <w:r>
        <w:rPr>
          <w:rFonts w:ascii="Avenir Next LT Pro" w:hAnsi="Avenir Next LT Pro"/>
          <w:b w:val="0"/>
          <w:color w:val="1C4076"/>
          <w:sz w:val="22"/>
        </w:rPr>
        <w:t>3.2  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3.3  The authorisations set out in Articles 3.1 and 3.2 above are subject to an aggregate issue of new shares corresponding to nominally DKK 50,000,000.</w:t>
      </w:r>
    </w:p>
    <w:p>
      <w:pPr>
        <w:spacing w:after="200"/>
        <w:jc w:val="both"/>
      </w:pPr>
      <w:r>
        <w:rPr>
          <w:rFonts w:ascii="Avenir Next LT Pro" w:hAnsi="Avenir Next LT Pro"/>
          <w:b w:val="0"/>
          <w:color w:val="1C4076"/>
          <w:sz w:val="22"/>
        </w:rPr>
        <w:t>3.4  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spacing w:after="200"/>
        <w:jc w:val="both"/>
      </w:pPr>
      <w:r>
        <w:rPr>
          <w:rFonts w:ascii="Avenir Next LT Pro" w:hAnsi="Avenir Next LT Pro"/>
          <w:b w:val="0"/>
          <w:color w:val="1C4076"/>
          <w:sz w:val="22"/>
        </w:rPr>
        <w:t>3.5  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spacing w:after="200"/>
        <w:jc w:val="both"/>
      </w:pPr>
      <w:r>
        <w:rPr>
          <w:rFonts w:ascii="Avenir Next LT Pro" w:hAnsi="Avenir Next LT Pro"/>
          <w:b w:val="0"/>
          <w:color w:val="1C4076"/>
          <w:sz w:val="22"/>
        </w:rPr>
        <w:t>3.6  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color w:val="1C4076"/>
          <w:sz w:val="28"/>
        </w:rPr>
        <w:t>Board of Directors</w:t>
      </w:r>
    </w:p>
    <w:p>
      <w:pPr>
        <w:spacing w:after="200"/>
        <w:jc w:val="both"/>
      </w:pPr>
      <w:r>
        <w:rPr>
          <w:rFonts w:ascii="Avenir Next LT Pro" w:hAnsi="Avenir Next LT Pro"/>
          <w:b w:val="0"/>
          <w:color w:val="1C4076"/>
          <w:sz w:val="22"/>
        </w:rPr>
        <w:t>4.1  The Board of Directors consists of not less than four and not more than seven members elected by the general meeting for a term of one year. Re-election of board members may take place.</w:t>
      </w:r>
    </w:p>
    <w:p>
      <w:pPr>
        <w:spacing w:after="200"/>
        <w:jc w:val="both"/>
      </w:pPr>
      <w:r>
        <w:rPr>
          <w:rFonts w:ascii="Avenir Next LT Pro" w:hAnsi="Avenir Next LT Pro"/>
          <w:b w:val="0"/>
          <w:color w:val="1C4076"/>
          <w:sz w:val="22"/>
        </w:rPr>
        <w:t>4.2  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spacing w:after="200"/>
        <w:jc w:val="both"/>
      </w:pPr>
      <w:r>
        <w:rPr>
          <w:rFonts w:ascii="Avenir Next LT Pro" w:hAnsi="Avenir Next LT Pro"/>
          <w:b w:val="0"/>
          <w:color w:val="1C4076"/>
          <w:sz w:val="22"/>
        </w:rPr>
        <w:t>4.3  Resolutions of the Board of Directors are passed by simple majority. In the event of an equality of votes, the Chair shall have a casting vote, or – in the Chair’s absence – the Vice Chair shall have the casting vote.</w:t>
      </w:r>
    </w:p>
    <w:p>
      <w:pPr>
        <w:spacing w:after="200"/>
        <w:jc w:val="both"/>
      </w:pPr>
      <w:r>
        <w:rPr>
          <w:rFonts w:ascii="Avenir Next LT Pro" w:hAnsi="Avenir Next LT Pro"/>
          <w:b w:val="0"/>
          <w:color w:val="1C4076"/>
          <w:sz w:val="22"/>
        </w:rPr>
        <w:t>4.4  The Board of Directors forms a quorum when more than half of its members are represented, including the Chair or the Vice Chair.</w:t>
      </w:r>
    </w:p>
    <w:p>
      <w:pPr>
        <w:spacing w:after="200"/>
        <w:jc w:val="both"/>
      </w:pPr>
      <w:r>
        <w:rPr>
          <w:rFonts w:ascii="Avenir Next LT Pro" w:hAnsi="Avenir Next LT Pro"/>
          <w:b w:val="0"/>
          <w:color w:val="1C4076"/>
          <w:sz w:val="22"/>
        </w:rPr>
        <w:t>4.5  The Board of Directors is authorised to pass one or more resolutions to distribute interim dividends.</w:t>
      </w:r>
    </w:p>
    <w:p>
      <w:pPr>
        <w:keepNext/>
        <w:spacing w:before="260" w:after="160"/>
      </w:pPr>
      <w:r>
        <w:rPr>
          <w:rFonts w:ascii="Avenir Next LT Pro" w:hAnsi="Avenir Next LT Pro"/>
          <w:b/>
          <w:color w:val="1C4076"/>
          <w:sz w:val="28"/>
        </w:rPr>
        <w:t>Executive Management</w:t>
      </w:r>
    </w:p>
    <w:p>
      <w:pPr>
        <w:spacing w:after="200"/>
        <w:jc w:val="both"/>
      </w:pPr>
      <w:r>
        <w:rPr>
          <w:rFonts w:ascii="Avenir Next LT Pro" w:hAnsi="Avenir Next LT Pro"/>
          <w:b w:val="0"/>
          <w:color w:val="1C4076"/>
          <w:sz w:val="22"/>
        </w:rPr>
        <w:t>5.1  The Board of Directors appoints an Executive Management consisting of one or more members to be in charge of the day-to-day management of the Company.</w:t>
      </w:r>
    </w:p>
    <w:p>
      <w:pPr>
        <w:keepNext/>
        <w:spacing w:before="260" w:after="160"/>
      </w:pPr>
      <w:r>
        <w:rPr>
          <w:rFonts w:ascii="Avenir Next LT Pro" w:hAnsi="Avenir Next LT Pro"/>
          <w:b/>
          <w:color w:val="1C4076"/>
          <w:sz w:val="28"/>
        </w:rPr>
        <w:t>Rules of signature</w:t>
      </w:r>
    </w:p>
    <w:p>
      <w:pPr>
        <w:spacing w:after="200"/>
        <w:jc w:val="both"/>
      </w:pPr>
      <w:r>
        <w:rPr>
          <w:rFonts w:ascii="Avenir Next LT Pro" w:hAnsi="Avenir Next LT Pro"/>
          <w:b w:val="0"/>
          <w:color w:val="1C4076"/>
          <w:sz w:val="22"/>
        </w:rPr>
        <w:t>6.1  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color w:val="1C4076"/>
          <w:sz w:val="28"/>
        </w:rPr>
        <w:t>Corporate language</w:t>
      </w:r>
    </w:p>
    <w:p>
      <w:pPr>
        <w:spacing w:after="200"/>
        <w:jc w:val="both"/>
      </w:pPr>
      <w:r>
        <w:rPr>
          <w:rFonts w:ascii="Avenir Next LT Pro" w:hAnsi="Avenir Next LT Pro"/>
          <w:b w:val="0"/>
          <w:color w:val="1C4076"/>
          <w:sz w:val="22"/>
        </w:rPr>
        <w:t>7.1  The Company’s corporate language is English.</w:t>
      </w:r>
    </w:p>
    <w:p>
      <w:pPr>
        <w:spacing w:after="200"/>
        <w:jc w:val="both"/>
      </w:pPr>
      <w:r>
        <w:rPr>
          <w:rFonts w:ascii="Avenir Next LT Pro" w:hAnsi="Avenir Next LT Pro"/>
          <w:b w:val="0"/>
          <w:color w:val="1C4076"/>
          <w:sz w:val="22"/>
        </w:rPr>
        <w:t>7.2 Company announcements and annual reports shall be prepared in English and, if decided by the Board of Directors, in Danish.</w:t>
      </w:r>
    </w:p>
    <w:p>
      <w:pPr>
        <w:spacing w:after="200"/>
        <w:jc w:val="both"/>
      </w:pPr>
      <w:r>
        <w:rPr>
          <w:rFonts w:ascii="Avenir Next LT Pro" w:hAnsi="Avenir Next LT Pro"/>
          <w:b w:val="0"/>
          <w:color w:val="1C4076"/>
          <w:sz w:val="22"/>
        </w:rPr>
        <w:t>7.3 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color w:val="1C4076"/>
          <w:sz w:val="28"/>
        </w:rPr>
        <w:t>Electronic communication</w:t>
      </w:r>
    </w:p>
    <w:p>
      <w:pPr>
        <w:spacing w:after="200"/>
        <w:jc w:val="both"/>
      </w:pPr>
      <w:r>
        <w:rPr>
          <w:rFonts w:ascii="Avenir Next LT Pro" w:hAnsi="Avenir Next LT Pro"/>
          <w:b w:val="0"/>
          <w:color w:val="1C4076"/>
          <w:sz w:val="22"/>
        </w:rPr>
        <w:t>8.1 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spacing w:after="200"/>
        <w:jc w:val="both"/>
      </w:pPr>
      <w:r>
        <w:rPr>
          <w:rFonts w:ascii="Avenir Next LT Pro" w:hAnsi="Avenir Next LT Pro"/>
          <w:b w:val="0"/>
          <w:color w:val="1C4076"/>
          <w:sz w:val="22"/>
        </w:rPr>
        <w:t>8.2 Each shareholder is responsible for ensuring that the Company has the correct email address at all times. The Company is not obliged to verify such contact information or to send notices in any other way.</w:t>
      </w:r>
    </w:p>
    <w:p>
      <w:pPr>
        <w:spacing w:after="200"/>
        <w:jc w:val="both"/>
      </w:pPr>
      <w:r>
        <w:rPr>
          <w:rFonts w:ascii="Avenir Next LT Pro" w:hAnsi="Avenir Next LT Pro"/>
          <w:b w:val="0"/>
          <w:color w:val="1C4076"/>
          <w:sz w:val="22"/>
        </w:rPr>
        <w:t>8.3 The Company’s website contains information about system requirements and electronic communication procedures.</w:t>
      </w:r>
    </w:p>
    <w:p>
      <w:pPr>
        <w:keepNext/>
        <w:spacing w:before="260" w:after="160"/>
      </w:pPr>
      <w:r>
        <w:rPr>
          <w:rFonts w:ascii="Avenir Next LT Pro" w:hAnsi="Avenir Next LT Pro"/>
          <w:b/>
          <w:color w:val="1C4076"/>
          <w:sz w:val="28"/>
        </w:rPr>
        <w:t>General meeting, venue and notice</w:t>
      </w:r>
    </w:p>
    <w:p>
      <w:pPr>
        <w:spacing w:after="200"/>
        <w:jc w:val="both"/>
      </w:pPr>
      <w:r>
        <w:rPr>
          <w:rFonts w:ascii="Avenir Next LT Pro" w:hAnsi="Avenir Next LT Pro"/>
          <w:b w:val="0"/>
          <w:color w:val="1C4076"/>
          <w:sz w:val="22"/>
        </w:rPr>
        <w:t>9.1 The general meetings of the Company shall be held in the Central Denmark Region (Region Midtjylland) or in the Region of Eastern Denmark (Region Østdanmark).</w:t>
      </w:r>
    </w:p>
    <w:p>
      <w:pPr>
        <w:spacing w:after="200"/>
        <w:jc w:val="both"/>
      </w:pPr>
      <w:r>
        <w:rPr>
          <w:rFonts w:ascii="Avenir Next LT Pro" w:hAnsi="Avenir Next LT Pro"/>
          <w:b w:val="0"/>
          <w:color w:val="1C4076"/>
          <w:sz w:val="22"/>
        </w:rPr>
        <w:t>9.2 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spacing w:after="200"/>
        <w:jc w:val="both"/>
      </w:pPr>
      <w:r>
        <w:rPr>
          <w:rFonts w:ascii="Avenir Next LT Pro" w:hAnsi="Avenir Next LT Pro"/>
          <w:b w:val="0"/>
          <w:color w:val="1C4076"/>
          <w:sz w:val="22"/>
        </w:rPr>
        <w:t>9.3 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spacing w:after="200"/>
        <w:jc w:val="both"/>
      </w:pPr>
      <w:r>
        <w:rPr>
          <w:rFonts w:ascii="Avenir Next LT Pro" w:hAnsi="Avenir Next LT Pro"/>
          <w:b w:val="0"/>
          <w:color w:val="1C4076"/>
          <w:sz w:val="22"/>
        </w:rPr>
        <w:t>9.4 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spacing w:after="200"/>
        <w:jc w:val="both"/>
      </w:pPr>
      <w:r>
        <w:rPr>
          <w:rFonts w:ascii="Avenir Next LT Pro" w:hAnsi="Avenir Next LT Pro"/>
          <w:b w:val="0"/>
          <w:color w:val="1C4076"/>
          <w:sz w:val="22"/>
        </w:rPr>
        <w:t>9.5 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spacing w:after="200"/>
        <w:jc w:val="both"/>
      </w:pPr>
      <w:r>
        <w:rPr>
          <w:rFonts w:ascii="Avenir Next LT Pro" w:hAnsi="Avenir Next LT Pro"/>
          <w:b w:val="0"/>
          <w:color w:val="1C4076"/>
          <w:sz w:val="22"/>
        </w:rPr>
        <w:t>9.6  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color w:val="1C4076"/>
          <w:sz w:val="22"/>
        </w:rPr>
        <w:t>The notice convening the general meeting</w:t>
      </w:r>
    </w:p>
    <w:p>
      <w:pPr>
        <w:pStyle w:val="ListBullet"/>
        <w:spacing w:after="80"/>
      </w:pPr>
      <w:r>
        <w:rPr>
          <w:rFonts w:ascii="Avenir Next LT Pro" w:hAnsi="Avenir Next LT Pro"/>
          <w:b w:val="0"/>
          <w:color w:val="1C4076"/>
          <w:sz w:val="22"/>
        </w:rPr>
        <w:t>The aggregate number of shares and voting rights as at the date of the notice</w:t>
      </w:r>
    </w:p>
    <w:p>
      <w:pPr>
        <w:pStyle w:val="ListBullet"/>
        <w:spacing w:after="80"/>
      </w:pPr>
      <w:r>
        <w:rPr>
          <w:rFonts w:ascii="Avenir Next LT Pro" w:hAnsi="Avenir Next LT Pro"/>
          <w:b w:val="0"/>
          <w:color w:val="1C4076"/>
          <w:sz w:val="22"/>
        </w:rPr>
        <w:t>The documents to be presented at the general meeting</w:t>
      </w:r>
    </w:p>
    <w:p>
      <w:pPr>
        <w:pStyle w:val="ListBullet"/>
        <w:spacing w:after="80"/>
      </w:pPr>
      <w:r>
        <w:rPr>
          <w:rFonts w:ascii="Avenir Next LT Pro" w:hAnsi="Avenir Next LT Pro"/>
          <w:b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color w:val="1C4076"/>
          <w:sz w:val="22"/>
        </w:rPr>
        <w:t>The forms to be used for voting by proxy or by postal vote</w:t>
      </w:r>
    </w:p>
    <w:p>
      <w:pPr>
        <w:spacing w:after="200"/>
        <w:jc w:val="both"/>
      </w:pPr>
      <w:r>
        <w:rPr>
          <w:rFonts w:ascii="Avenir Next LT Pro" w:hAnsi="Avenir Next LT Pro"/>
          <w:b w:val="0"/>
          <w:color w:val="1C4076"/>
          <w:sz w:val="22"/>
        </w:rPr>
        <w:t>9.7 The general meeting shall be presided over by a chairperson appointed by the Board of Directors.</w:t>
      </w:r>
    </w:p>
    <w:p>
      <w:pPr>
        <w:keepNext/>
        <w:spacing w:before="260" w:after="160"/>
      </w:pPr>
      <w:r>
        <w:rPr>
          <w:rFonts w:ascii="Avenir Next LT Pro" w:hAnsi="Avenir Next LT Pro"/>
          <w:b/>
          <w:color w:val="1C4076"/>
          <w:sz w:val="28"/>
        </w:rPr>
        <w:t>Agenda for the annual general meeting</w:t>
      </w:r>
    </w:p>
    <w:p>
      <w:pPr>
        <w:spacing w:after="200"/>
        <w:jc w:val="both"/>
      </w:pPr>
      <w:r>
        <w:rPr>
          <w:rFonts w:ascii="Avenir Next LT Pro" w:hAnsi="Avenir Next LT Pro"/>
          <w:b w:val="0"/>
          <w:color w:val="1C4076"/>
          <w:sz w:val="22"/>
        </w:rPr>
        <w:t>10.1 The agenda for the annual general meeting shall include the following:</w:t>
      </w:r>
    </w:p>
    <w:p>
      <w:pPr>
        <w:pStyle w:val="ListBullet"/>
        <w:spacing w:after="80"/>
      </w:pPr>
      <w:r>
        <w:rPr>
          <w:rFonts w:ascii="Avenir Next LT Pro" w:hAnsi="Avenir Next LT Pro"/>
          <w:b w:val="0"/>
          <w:color w:val="1C4076"/>
          <w:sz w:val="22"/>
        </w:rPr>
        <w:t>The Board of Directors’ report on the Company’s activities in the past financial year</w:t>
      </w:r>
    </w:p>
    <w:p>
      <w:pPr>
        <w:pStyle w:val="ListBullet"/>
        <w:spacing w:after="80"/>
      </w:pPr>
      <w:r>
        <w:rPr>
          <w:rFonts w:ascii="Avenir Next LT Pro" w:hAnsi="Avenir Next LT Pro"/>
          <w:b w:val="0"/>
          <w:color w:val="1C4076"/>
          <w:sz w:val="22"/>
        </w:rPr>
        <w:t>Presentation and adoption of the audited annual report</w:t>
      </w:r>
    </w:p>
    <w:p>
      <w:pPr>
        <w:pStyle w:val="ListBullet"/>
        <w:spacing w:after="80"/>
      </w:pPr>
      <w:r>
        <w:rPr>
          <w:rFonts w:ascii="Avenir Next LT Pro" w:hAnsi="Avenir Next LT Pro"/>
          <w:b w:val="0"/>
          <w:color w:val="1C4076"/>
          <w:sz w:val="22"/>
        </w:rPr>
        <w:t>Distribution of profit or covering of loss according to the adopted annual report</w:t>
      </w:r>
    </w:p>
    <w:p>
      <w:pPr>
        <w:pStyle w:val="ListBullet"/>
        <w:spacing w:after="80"/>
      </w:pPr>
      <w:r>
        <w:rPr>
          <w:rFonts w:ascii="Avenir Next LT Pro" w:hAnsi="Avenir Next LT Pro"/>
          <w:b w:val="0"/>
          <w:color w:val="1C4076"/>
          <w:sz w:val="22"/>
        </w:rPr>
        <w:t>Resolution to grant discharge of liability to the Board of Directors and the Executive Management</w:t>
      </w:r>
    </w:p>
    <w:p>
      <w:pPr>
        <w:pStyle w:val="ListBullet"/>
        <w:spacing w:after="80"/>
      </w:pPr>
      <w:r>
        <w:rPr>
          <w:rFonts w:ascii="Avenir Next LT Pro" w:hAnsi="Avenir Next LT Pro"/>
          <w:b w:val="0"/>
          <w:color w:val="1C4076"/>
          <w:sz w:val="22"/>
        </w:rPr>
        <w:t>Presentation of the Company’s remuneration report for an advisory vote</w:t>
      </w:r>
    </w:p>
    <w:p>
      <w:pPr>
        <w:pStyle w:val="ListBullet"/>
        <w:spacing w:after="80"/>
      </w:pPr>
      <w:r>
        <w:rPr>
          <w:rFonts w:ascii="Avenir Next LT Pro" w:hAnsi="Avenir Next LT Pro"/>
          <w:b w:val="0"/>
          <w:color w:val="1C4076"/>
          <w:sz w:val="22"/>
        </w:rPr>
        <w:t>Approval of remuneration to the Board of Directors for the current financial year</w:t>
      </w:r>
    </w:p>
    <w:p>
      <w:pPr>
        <w:pStyle w:val="ListBullet"/>
        <w:spacing w:after="80"/>
      </w:pPr>
      <w:r>
        <w:rPr>
          <w:rFonts w:ascii="Avenir Next LT Pro" w:hAnsi="Avenir Next LT Pro"/>
          <w:b w:val="0"/>
          <w:color w:val="1C4076"/>
          <w:sz w:val="22"/>
        </w:rPr>
        <w:t>Election of members to the Board of Directors</w:t>
      </w:r>
    </w:p>
    <w:p>
      <w:pPr>
        <w:pStyle w:val="ListBullet"/>
        <w:spacing w:after="80"/>
      </w:pPr>
      <w:r>
        <w:rPr>
          <w:rFonts w:ascii="Avenir Next LT Pro" w:hAnsi="Avenir Next LT Pro"/>
          <w:b w:val="0"/>
          <w:color w:val="1C4076"/>
          <w:sz w:val="22"/>
        </w:rPr>
        <w:t>Election of auditor</w:t>
      </w:r>
    </w:p>
    <w:p>
      <w:pPr>
        <w:pStyle w:val="ListBullet"/>
        <w:spacing w:after="80"/>
      </w:pPr>
      <w:r>
        <w:rPr>
          <w:rFonts w:ascii="Avenir Next LT Pro" w:hAnsi="Avenir Next LT Pro"/>
          <w:b w:val="0"/>
          <w:color w:val="1C4076"/>
          <w:sz w:val="22"/>
        </w:rPr>
        <w:t>Authorisation to acquire treasury shares, if relevant</w:t>
      </w:r>
    </w:p>
    <w:p>
      <w:pPr>
        <w:pStyle w:val="ListBullet"/>
        <w:spacing w:after="80"/>
      </w:pPr>
      <w:r>
        <w:rPr>
          <w:rFonts w:ascii="Avenir Next LT Pro" w:hAnsi="Avenir Next LT Pro"/>
          <w:b w:val="0"/>
          <w:color w:val="1C4076"/>
          <w:sz w:val="22"/>
        </w:rPr>
        <w:t>Any proposals from the Board of Directors or shareholders</w:t>
      </w:r>
    </w:p>
    <w:p>
      <w:pPr>
        <w:pStyle w:val="ListBullet"/>
        <w:spacing w:after="80"/>
      </w:pPr>
      <w:r>
        <w:rPr>
          <w:rFonts w:ascii="Avenir Next LT Pro" w:hAnsi="Avenir Next LT Pro"/>
          <w:b w:val="0"/>
          <w:color w:val="1C4076"/>
          <w:sz w:val="22"/>
        </w:rPr>
        <w:t>Any other business</w:t>
      </w:r>
    </w:p>
    <w:p>
      <w:pPr>
        <w:spacing w:after="200"/>
        <w:jc w:val="both"/>
      </w:pPr>
      <w:r>
        <w:rPr>
          <w:rFonts w:ascii="Avenir Next LT Pro" w:hAnsi="Avenir Next LT Pro"/>
          <w:b w:val="0"/>
          <w:color w:val="1C4076"/>
          <w:sz w:val="22"/>
        </w:rPr>
        <w:t>10.2 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color w:val="1C4076"/>
          <w:sz w:val="28"/>
        </w:rPr>
        <w:t>Shareholders’ attendance and voting rights at the general meeting</w:t>
      </w:r>
    </w:p>
    <w:p>
      <w:pPr>
        <w:spacing w:after="200"/>
        <w:jc w:val="both"/>
      </w:pPr>
      <w:r>
        <w:rPr>
          <w:rFonts w:ascii="Avenir Next LT Pro" w:hAnsi="Avenir Next LT Pro"/>
          <w:b w:val="0"/>
          <w:color w:val="1C4076"/>
          <w:sz w:val="22"/>
        </w:rPr>
        <w:t>11.1 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spacing w:after="200"/>
        <w:jc w:val="both"/>
      </w:pPr>
      <w:r>
        <w:rPr>
          <w:rFonts w:ascii="Avenir Next LT Pro" w:hAnsi="Avenir Next LT Pro"/>
          <w:b w:val="0"/>
          <w:color w:val="1C4076"/>
          <w:sz w:val="22"/>
        </w:rPr>
        <w:t>11.2 A shareholder who is entitled to attend the general meeting pursuant to Article 11.1 and who wants to attend the general meeting shall notify the Company of its attendance not later than three days prior to the date of the general meeting.</w:t>
      </w:r>
    </w:p>
    <w:p>
      <w:pPr>
        <w:spacing w:after="200"/>
        <w:jc w:val="both"/>
      </w:pPr>
      <w:r>
        <w:rPr>
          <w:rFonts w:ascii="Avenir Next LT Pro" w:hAnsi="Avenir Next LT Pro"/>
          <w:b w:val="0"/>
          <w:color w:val="1C4076"/>
          <w:sz w:val="22"/>
        </w:rPr>
        <w:t>11.3 A shareholder may attend in person or by proxy, and the shareholder or the proxy may attend together with an adviser.</w:t>
      </w:r>
    </w:p>
    <w:p>
      <w:pPr>
        <w:pStyle w:val="ListBullet"/>
        <w:spacing w:after="80"/>
      </w:pPr>
      <w:r>
        <w:rPr>
          <w:rFonts w:ascii="Avenir Next LT Pro" w:hAnsi="Avenir Next LT Pro"/>
          <w:b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color w:val="1C4076"/>
          <w:sz w:val="22"/>
        </w:rPr>
        <w:t>11.6 Each share of the nominal value of DKK 2.50 shall carry one vote.</w:t>
      </w:r>
    </w:p>
    <w:p>
      <w:pPr>
        <w:keepNext/>
        <w:spacing w:before="260" w:after="160"/>
      </w:pPr>
      <w:r>
        <w:rPr>
          <w:rFonts w:ascii="Avenir Next LT Pro" w:hAnsi="Avenir Next LT Pro"/>
          <w:b/>
          <w:color w:val="1C4076"/>
          <w:sz w:val="28"/>
        </w:rPr>
        <w:t>Resolutions at general meetings</w:t>
      </w:r>
    </w:p>
    <w:p>
      <w:pPr>
        <w:spacing w:after="200"/>
        <w:jc w:val="both"/>
      </w:pPr>
      <w:r>
        <w:rPr>
          <w:rFonts w:ascii="Avenir Next LT Pro" w:hAnsi="Avenir Next LT Pro"/>
          <w:b w:val="0"/>
          <w:color w:val="1C4076"/>
          <w:sz w:val="22"/>
        </w:rPr>
        <w:t>12.1 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color w:val="1C4076"/>
          <w:sz w:val="28"/>
        </w:rPr>
        <w:t>Indemnification scheme</w:t>
      </w:r>
    </w:p>
    <w:p>
      <w:pPr>
        <w:spacing w:after="200"/>
        <w:jc w:val="both"/>
      </w:pPr>
      <w:r>
        <w:rPr>
          <w:rFonts w:ascii="Avenir Next LT Pro" w:hAnsi="Avenir Next LT Pro"/>
          <w:b w:val="0"/>
          <w:color w:val="1C4076"/>
          <w:sz w:val="22"/>
        </w:rPr>
        <w:t>13.1 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color w:val="1C4076"/>
          <w:sz w:val="28"/>
        </w:rPr>
        <w:t>Annual report and audit</w:t>
      </w:r>
    </w:p>
    <w:p>
      <w:pPr>
        <w:spacing w:after="200"/>
        <w:jc w:val="both"/>
      </w:pPr>
      <w:r>
        <w:rPr>
          <w:rFonts w:ascii="Avenir Next LT Pro" w:hAnsi="Avenir Next LT Pro"/>
          <w:b w:val="0"/>
          <w:color w:val="1C4076"/>
          <w:sz w:val="22"/>
        </w:rPr>
        <w:t>14.1 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color w:val="1C4076"/>
          <w:sz w:val="28"/>
        </w:rPr>
        <w:t>Financial year</w:t>
      </w:r>
    </w:p>
    <w:p>
      <w:pPr>
        <w:spacing w:after="200"/>
        <w:jc w:val="both"/>
      </w:pPr>
      <w:r>
        <w:rPr>
          <w:rFonts w:ascii="Avenir Next LT Pro" w:hAnsi="Avenir Next LT Pro"/>
          <w:b w:val="0"/>
          <w:color w:val="1C4076"/>
          <w:sz w:val="22"/>
        </w:rPr>
        <w:t>15.1 The Company’s financial year is the calendar year.</w:t>
      </w:r>
    </w:p>
    <w:p>
      <w:pPr>
        <w:spacing w:after="200"/>
        <w:jc w:val="both"/>
      </w:pPr>
      <w:r>
        <w:rPr>
          <w:rFonts w:ascii="Avenir Next LT Pro" w:hAnsi="Avenir Next LT Pro"/>
          <w:b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1114" w:right="850" w:bottom="1134" w:left="850" w:header="36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525" w:val="right"/>
      </w:tabs>
      <w:jc w:val="left"/>
    </w:pPr>
    <w:r>
      <w:rPr>
        <w:rFonts w:ascii="Avenir Next LT Pro" w:hAnsi="Avenir Next LT Pro"/>
        <w:b/>
        <w:color w:val="1C4076"/>
        <w:sz w:val="16"/>
      </w:rPr>
      <w:t>BioMar Group</w:t>
    </w:r>
    <w:r>
      <w:br/>
    </w:r>
    <w:r>
      <w:rPr>
        <w:rFonts w:ascii="Avenir Next LT Pro" w:hAnsi="Avenir Next LT Pro"/>
        <w:b w:val="0"/>
        <w:color w:val="1C4076"/>
        <w:sz w:val="16"/>
      </w:rPr>
      <w:t>Articles of Association</w:t>
    </w:r>
    <w:r>
      <w:tab/>
      <w:drawing>
        <wp:inline xmlns:a="http://schemas.openxmlformats.org/drawingml/2006/main" xmlns:pic="http://schemas.openxmlformats.org/drawingml/2006/picture">
          <wp:extent cx="469475" cy="450000"/>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469475" cy="45000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