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tio5vg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 xml:space="preserve">3.1.1. The Committee recommends that the board of directors on an annual basis reviews and in the management commentary and/or on the company’s website states </w:t>
              <w:br/>
              <w:t xml:space="preserve">which qualifications the board of directors should possess, collectively and individually, in order to perform its duties in the best possible manner, and </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qualifications,</w:t>
              <w:br/>
              <w:t xml:space="preserve">other managerial duties in commercial undertakings, including board committees, </w:t>
              <w:br/>
              <w:t>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 xml:space="preserve">In order to be independent, the member in question may not: </w:t>
              <w:br/>
              <w:t xml:space="preserve">be or within the past five years have been a member of the executive management or an executive employee in the company, a subsidiary or a group company, </w:t>
              <w:br/>
              <w:t>within the past five years have received large emoluments from the company/group, a subsidiary or a group company in another capacity than as member of the board of directors,</w:t>
              <w:br/>
              <w:t xml:space="preserve">represent or be associated with a controlling shareholder, </w:t>
              <w:br/>
              <w:t>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be or within the past three years have been employed with or a partner in the same company as the company’s auditor elected in general meeting,</w:t>
              <w:br/>
              <w:t>be a CEO in a company with cross-memberships in the company’s management,</w:t>
              <w:br/>
              <w:t xml:space="preserve">have been a member of the board of directors for more than twelve years, or </w:t>
              <w:br/>
              <w:t>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xml:space="preserve">position, age and gender, </w:t>
              <w:br/>
              <w:t xml:space="preserve">competencies and qualifications relevant to the company, </w:t>
              <w:br/>
              <w:t>independence,</w:t>
              <w:br/>
              <w:t xml:space="preserve">year of joining the board of directors, </w:t>
              <w:br/>
              <w:t xml:space="preserve">year of expiry of the current election period, </w:t>
              <w:br/>
              <w:t xml:space="preserve">participation in meetings of the board of directors and committee meetings, </w:t>
              <w:br/>
              <w:t xml:space="preserve">managerial duties in other commercial undertakings, including board committees, and demanding organisational assignments, and </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xml:space="preserve">the board committees’ most significant activities and number of meetings in the past year, and </w:t>
              <w:br/>
              <w:t>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 xml:space="preserve">All members of the Audit Committee, including the chair of the Audit Committee, are considered independent. </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xml:space="preserve">supervising the correctness of the published financial information, including accounting practices in significant areas, significant accounting estimates and related party transactions, </w:t>
              <w:br/>
              <w:t xml:space="preserve">reviewing internal control and risk areas in order to ensure management of significant risks, including in relation to the announced financial outlook, </w:t>
              <w:br/>
              <w:t xml:space="preserve">assessing the need for internal audit, </w:t>
              <w:br/>
              <w:t xml:space="preserve">performing the evaluation of the auditor elected by the general meeting, </w:t>
              <w:br/>
              <w:t xml:space="preserve">reviewing the auditor fee for the auditor elected by the general meeting, </w:t>
              <w:br/>
              <w:t xml:space="preserve">supervising the scope of the non-audit services performed by the auditor elected by the general meeting, and </w:t>
              <w:br/>
              <w:t>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xml:space="preserve">prepare terms of reference and recommendations on the nomination, employment and dismissal of the head of the internal audit function and on the budget for the department, </w:t>
              <w:br/>
              <w:t xml:space="preserve">ensure that the internal audit function has sufficient resources and competencies to perform its role, and </w:t>
              <w:br/>
              <w:t>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br/>
              <w:t xml:space="preserve">on an annual basis evaluating the board of directors and the executive management’s structure, size, composition and results and preparing recommendations for the board of directors for any changes, </w:t>
              <w:br/>
              <w:t xml:space="preserve">in cooperation with the chairperson handling the annual evaluation of the board of directors and assessing the individual management members’ competencies, knowledge, experience and succession as well as reporting on it to the board of directors, </w:t>
              <w:br/>
              <w:t>handling the recruitment of new members to the board of directors and the executive management and nominating candidates for the board of directors’ approval,</w:t>
              <w:br/>
              <w:t xml:space="preserve">ensuring that a succession plan for the executive management is in place, </w:t>
              <w:br/>
              <w:t xml:space="preserve">supervising executive managements’ policy for the engagement of executive employees, and </w:t>
              <w:br/>
              <w:t>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xml:space="preserve">preparing a draft remuneration policy for the board of directors’ approval prior to the presentation at the general meeting, </w:t>
              <w:br/>
              <w:t xml:space="preserve">providing a proposal to the board of directors on the remuneration of the members of the executive management, </w:t>
              <w:br/>
              <w:t xml:space="preserve">providing a proposal to the board of directors on the remuneration of the board of directors prior to the presentation at the general meeting, </w:t>
              <w:br/>
              <w:t xml:space="preserve">ensuring that the management’s actual remuneration complies with the company’s remuneration policy and the evaluation of the individual member’s performance, and </w:t>
              <w:br/>
              <w:t>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 xml:space="preserve">3.5.1. The Committee recommends that the board of directors once a year evaluates the board of directors and at least every three years engages external assistance in the evaluation. </w:t>
              <w:br/>
              <w:t xml:space="preserve">The Committee recommends that the evaluation focuses on the recommendations on the board of directors’ work, efficiency, composition and organisation, cf. recommendations 3.1.-3.4. above, and that the evaluation as a minimum always includes the following topics: </w:t>
              <w:br/>
              <w:t xml:space="preserve">the composition of the board of directors with focus on competencies and diversity </w:t>
              <w:br/>
              <w:t xml:space="preserve">the board of directors and the individual member’s contribution and results, </w:t>
              <w:br/>
              <w:t xml:space="preserve">the cooperation on the board of directors and between the board of directors and the executive management, </w:t>
              <w:br/>
              <w:t xml:space="preserve">the chairperson’s leadership of the board of directors, </w:t>
              <w:br/>
              <w:t xml:space="preserve">the committee structure and the work in the committees, </w:t>
              <w:br/>
              <w:t>the organisation of the work of the board of directors and the quality of the material provided to the board of directors, and</w:t>
              <w:br/>
              <w:t>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Corporate Governance Statement</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