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4zw00jpp.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work of equal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spacing w:after="200"/>
        <w:jc w:val="both"/>
      </w:pPr>
      <w:r>
        <w:rPr>
          <w:rFonts w:ascii="Avenir Next LT Pro" w:hAnsi="Avenir Next LT Pro"/>
          <w:b w:val="0"/>
          <w:color w:val="1C4076"/>
          <w:sz w:val="22"/>
        </w:rPr>
        <w:t>striving to ensure representation of both genders among the final candidates when recruiting for management positions</w:t>
      </w:r>
    </w:p>
    <w:p>
      <w:pPr>
        <w:spacing w:after="200"/>
        <w:jc w:val="both"/>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keepNext/>
        <w:spacing w:before="260" w:after="160"/>
      </w:pPr>
      <w:r>
        <w:rPr>
          <w:rFonts w:ascii="Avenir Next LT Pro" w:hAnsi="Avenir Next LT Pro"/>
          <w:b/>
          <w:color w:val="1C4076"/>
          <w:sz w:val="28"/>
        </w:rPr>
        <w:t>ensuring that employees experience equal opportunities in respect of career advancement, regardless of gender</w:t>
      </w:r>
    </w:p>
    <w:p>
      <w:pPr>
        <w:spacing w:after="200"/>
        <w:jc w:val="both"/>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Diversity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