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4jopjxc.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pPr>
        <w:spacing w:after="200"/>
        <w:jc w:val="both"/>
      </w:pPr>
      <w:r>
        <w:rPr>
          <w:rFonts w:ascii="Avenir Next LT Pro" w:hAnsi="Avenir Next LT Pro"/>
          <w:b/>
          <w:color w:val="1C4076"/>
          <w:sz w:val="22"/>
        </w:rP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other requirements governing environmental and energy management in the countries where we operate. We will implement environmental and energy efficiency management practices and monitor compliance with them</w:t>
      </w:r>
    </w:p>
    <w:p>
      <w:pPr>
        <w:pStyle w:val="ListBullet"/>
        <w:spacing w:after="80"/>
      </w:pPr>
      <w:r>
        <w:rPr>
          <w:rFonts w:ascii="Avenir Next LT Pro" w:hAnsi="Avenir Next LT Pro"/>
          <w:b w:val="0"/>
          <w:color w:val="1C4076"/>
          <w:sz w:val="22"/>
        </w:rP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spacing w:after="80"/>
      </w:pPr>
      <w:r>
        <w:rPr>
          <w:rFonts w:ascii="Avenir Next LT Pro" w:hAnsi="Avenir Next LT Pro"/>
          <w:b w:val="0"/>
          <w:color w:val="1C4076"/>
          <w:sz w:val="22"/>
        </w:rPr>
        <w:t>Monitor our operational performance through a set of key metrics and set targets for continuous improvement and publish our targets and performance on an annual basis through our Sustainability Report</w:t>
      </w:r>
    </w:p>
    <w:p>
      <w:pPr>
        <w:pStyle w:val="ListBullet"/>
        <w:spacing w:after="80"/>
      </w:pPr>
      <w:r>
        <w:rPr>
          <w:rFonts w:ascii="Avenir Next LT Pro" w:hAnsi="Avenir Next LT Pro"/>
          <w:b w:val="0"/>
          <w:color w:val="1C4076"/>
          <w:sz w:val="22"/>
        </w:rP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spacing w:after="80"/>
      </w:pPr>
      <w:r>
        <w:rPr>
          <w:rFonts w:ascii="Avenir Next LT Pro" w:hAnsi="Avenir Next LT Pro"/>
          <w:b w:val="0"/>
          <w:color w:val="1C4076"/>
          <w:sz w:val="22"/>
        </w:rPr>
        <w:t>Raise awareness, encourage participation, and train employees in environmental and energy matters</w:t>
      </w:r>
    </w:p>
    <w:p>
      <w:pPr>
        <w:pStyle w:val="ListBullet"/>
        <w:spacing w:after="80"/>
      </w:pPr>
      <w:r>
        <w:rPr>
          <w:rFonts w:ascii="Avenir Next LT Pro" w:hAnsi="Avenir Next LT Pro"/>
          <w:b w:val="0"/>
          <w:color w:val="1C4076"/>
          <w:sz w:val="22"/>
        </w:rPr>
        <w:t>Minimise the generation of emissions and waste (process waste, odour, effluent discharges, GHG emissions, packaging and energy waste), as well as control the efficient use of water and energy</w:t>
      </w:r>
    </w:p>
    <w:p>
      <w:pPr>
        <w:pStyle w:val="ListBullet"/>
        <w:spacing w:after="80"/>
      </w:pPr>
      <w:r>
        <w:rPr>
          <w:rFonts w:ascii="Avenir Next LT Pro" w:hAnsi="Avenir Next LT Pro"/>
          <w:b w:val="0"/>
          <w:color w:val="1C4076"/>
          <w:sz w:val="22"/>
        </w:rPr>
        <w:t>Consider the environmental impact and energy performance in the procurement and design of changes and improvements to facilities, equipment, systems, processes and associated services</w:t>
      </w:r>
    </w:p>
    <w:p>
      <w:pPr>
        <w:pStyle w:val="ListBullet"/>
        <w:spacing w:after="80"/>
      </w:pPr>
      <w:r>
        <w:rPr>
          <w:rFonts w:ascii="Avenir Next LT Pro" w:hAnsi="Avenir Next LT Pro"/>
          <w:b w:val="0"/>
          <w:color w:val="1C4076"/>
          <w:sz w:val="22"/>
        </w:rPr>
        <w:t>Promote the continuous improvement of environmental impacts and energy performance management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Environmental &amp; Energy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