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iidfa2xz.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200"/>
        <w:jc w:val="both"/>
      </w:pPr>
      <w:r>
        <w:rPr>
          <w:rFonts w:ascii="Avenir Next LT Pro" w:hAnsi="Avenir Next LT Pro"/>
          <w:b w:val="0"/>
          <w:color w:val="1C4076"/>
          <w:sz w:val="22"/>
        </w:rPr>
        <w:t>1 Introduction ........................................................................................................................................ 2</w:t>
      </w:r>
    </w:p>
    <w:p>
      <w:pPr>
        <w:spacing w:after="200"/>
        <w:jc w:val="both"/>
      </w:pPr>
      <w:r>
        <w:rPr>
          <w:rFonts w:ascii="Avenir Next LT Pro" w:hAnsi="Avenir Next LT Pro"/>
          <w:b w:val="0"/>
          <w:color w:val="1C4076"/>
          <w:sz w:val="22"/>
        </w:rPr>
        <w:t>2 Scope .................................................................................................................................................. 2</w:t>
      </w:r>
    </w:p>
    <w:p>
      <w:pPr>
        <w:spacing w:after="200"/>
        <w:jc w:val="both"/>
      </w:pPr>
      <w:r>
        <w:rPr>
          <w:rFonts w:ascii="Avenir Next LT Pro" w:hAnsi="Avenir Next LT Pro"/>
          <w:b w:val="0"/>
          <w:color w:val="1C4076"/>
          <w:sz w:val="22"/>
        </w:rPr>
        <w:t>3 General principles ............................................................................................................................. 2</w:t>
      </w:r>
    </w:p>
    <w:p>
      <w:pPr>
        <w:spacing w:after="200"/>
        <w:jc w:val="both"/>
      </w:pPr>
      <w:r>
        <w:rPr>
          <w:rFonts w:ascii="Avenir Next LT Pro" w:hAnsi="Avenir Next LT Pro"/>
          <w:b w:val="0"/>
          <w:color w:val="1C4076"/>
          <w:sz w:val="22"/>
        </w:rPr>
        <w:t>4 Transfer of data and use of data processors ................................................................................. 3</w:t>
      </w:r>
    </w:p>
    <w:p>
      <w:pPr>
        <w:spacing w:after="200"/>
        <w:jc w:val="both"/>
      </w:pPr>
      <w:r>
        <w:rPr>
          <w:rFonts w:ascii="Avenir Next LT Pro" w:hAnsi="Avenir Next LT Pro"/>
          <w:b w:val="0"/>
          <w:color w:val="1C4076"/>
          <w:sz w:val="22"/>
        </w:rPr>
        <w:t>5 Personal data breach ........................................................................................................................ 4</w:t>
      </w:r>
    </w:p>
    <w:p>
      <w:pPr>
        <w:spacing w:after="200"/>
        <w:jc w:val="both"/>
      </w:pPr>
      <w:r>
        <w:rPr>
          <w:rFonts w:ascii="Avenir Next LT Pro" w:hAnsi="Avenir Next LT Pro"/>
          <w:b w:val="0"/>
          <w:color w:val="1C4076"/>
          <w:sz w:val="22"/>
        </w:rPr>
        <w:t>6 Data Protection Manager ................................................................................................................. 4</w:t>
      </w:r>
    </w:p>
    <w:p>
      <w:pPr>
        <w:spacing w:after="200"/>
        <w:jc w:val="both"/>
      </w:pPr>
      <w:r>
        <w:rPr>
          <w:rFonts w:ascii="Avenir Next LT Pro" w:hAnsi="Avenir Next LT Pro"/>
          <w:b w:val="0"/>
          <w:color w:val="1C4076"/>
          <w:sz w:val="22"/>
        </w:rPr>
        <w:t>7 Audits .................................................................................................................................................. 4</w:t>
      </w:r>
    </w:p>
    <w:p>
      <w:pPr>
        <w:spacing w:after="200"/>
        <w:jc w:val="both"/>
      </w:pPr>
      <w:r>
        <w:rPr>
          <w:rFonts w:ascii="Avenir Next LT Pro" w:hAnsi="Avenir Next LT Pro"/>
          <w:b w:val="0"/>
          <w:color w:val="1C4076"/>
          <w:sz w:val="22"/>
        </w:rPr>
        <w:t>8 Training ............................................................................................................................................... 4</w:t>
      </w:r>
    </w:p>
    <w:p>
      <w:pPr>
        <w:spacing w:after="200"/>
        <w:jc w:val="both"/>
      </w:pPr>
      <w:r>
        <w:rPr>
          <w:rFonts w:ascii="Avenir Next LT Pro" w:hAnsi="Avenir Next LT Pro"/>
          <w:b w:val="0"/>
          <w:color w:val="1C4076"/>
          <w:sz w:val="22"/>
        </w:rPr>
        <w:t>9 Compliance Guidelines ................................................................................................................... 4</w:t>
      </w:r>
    </w:p>
    <w:p>
      <w:pPr>
        <w:spacing w:after="200"/>
        <w:jc w:val="both"/>
      </w:pPr>
      <w:r>
        <w:rPr>
          <w:rFonts w:ascii="Avenir Next LT Pro" w:hAnsi="Avenir Next LT Pro"/>
          <w:b w:val="0"/>
          <w:color w:val="1C4076"/>
          <w:sz w:val="22"/>
        </w:rPr>
        <w:t>10 Related documents .......................................................................................................................... 5</w:t>
      </w:r>
    </w:p>
    <w:p>
      <w:pPr>
        <w:keepNext/>
        <w:spacing w:before="260" w:after="160"/>
      </w:pPr>
      <w:r>
        <w:rPr>
          <w:rFonts w:ascii="Avenir Next LT Pro" w:hAnsi="Avenir Next LT Pro"/>
          <w:b/>
          <w:color w:val="1C4076"/>
          <w:sz w:val="28"/>
        </w:rPr>
        <w:t>Introduction</w:t>
      </w:r>
    </w:p>
    <w:p>
      <w:pPr>
        <w:spacing w:after="200"/>
        <w:jc w:val="both"/>
      </w:pPr>
      <w:r>
        <w:rPr>
          <w:rFonts w:ascii="Avenir Next LT Pro" w:hAnsi="Avenir Next LT Pro"/>
          <w:b w:val="0"/>
          <w:color w:val="1C4076"/>
          <w:sz w:val="22"/>
        </w:rPr>
        <w:t>BioMar is committed to respecting the privacy of its employees and business partners. We adhere to strict standards when processing personal information. All data collected and held by BioMar will be processed fairly, transparently, carefully and in compliance with the applicable data privacy laws.</w:t>
      </w:r>
    </w:p>
    <w:p>
      <w:pPr>
        <w:spacing w:after="200"/>
        <w:jc w:val="both"/>
      </w:pPr>
      <w:r>
        <w:rPr>
          <w:rFonts w:ascii="Avenir Next LT Pro" w:hAnsi="Avenir Next LT Pro"/>
          <w:b w:val="0"/>
          <w:color w:val="1C4076"/>
          <w:sz w:val="22"/>
        </w:rPr>
        <w:t>BioMar Group as well as subsidiaries and joint ventures from time to time take the obligation to process personal data in accordance with all applicable legislation as well as high ethical standards. The protection of personal data and the rights and integrity of individuals is of vital importance to BioMar Group.</w:t>
      </w:r>
    </w:p>
    <w:p>
      <w:pPr>
        <w:spacing w:after="200"/>
        <w:jc w:val="both"/>
      </w:pPr>
      <w:r>
        <w:rPr>
          <w:rFonts w:ascii="Avenir Next LT Pro" w:hAnsi="Avenir Next LT Pro"/>
          <w:b w:val="0"/>
          <w:color w:val="1C4076"/>
          <w:sz w:val="22"/>
        </w:rPr>
        <w:t>This Group Data Privacy Policy sets out how BioMar Group processes and protects personal data in order to safeguard our ethical principles and comply with applicable data protection legislation at all times. Local companies are required to implement the policy through local management systems.</w:t>
      </w:r>
    </w:p>
    <w:p>
      <w:pPr>
        <w:spacing w:after="200"/>
        <w:jc w:val="both"/>
      </w:pPr>
      <w:r>
        <w:rPr>
          <w:rFonts w:ascii="Avenir Next LT Pro" w:hAnsi="Avenir Next LT Pro"/>
          <w:b w:val="0"/>
          <w:color w:val="1C4076"/>
          <w:sz w:val="22"/>
        </w:rPr>
        <w:t>It should be noted that personal data is defined as any information relating to a person who can be identified directly or indirectly. There is no distinction between personal data about an individual in their private, public or work roles – all are covered by this policy</w:t>
      </w:r>
    </w:p>
    <w:p>
      <w:pPr>
        <w:keepNext/>
        <w:spacing w:before="260" w:after="160"/>
      </w:pPr>
      <w:r>
        <w:rPr>
          <w:rFonts w:ascii="Avenir Next LT Pro" w:hAnsi="Avenir Next LT Pro"/>
          <w:b/>
          <w:color w:val="1C4076"/>
          <w:sz w:val="28"/>
        </w:rPr>
        <w:t>Scope</w:t>
      </w:r>
    </w:p>
    <w:p>
      <w:pPr>
        <w:spacing w:after="200"/>
        <w:jc w:val="both"/>
      </w:pPr>
      <w:r>
        <w:rPr>
          <w:rFonts w:ascii="Avenir Next LT Pro" w:hAnsi="Avenir Next LT Pro"/>
          <w:b w:val="0"/>
          <w:color w:val="1C4076"/>
          <w:sz w:val="22"/>
        </w:rPr>
        <w:t>All entities within BioMar Group shall commit themselves to the adherence of this policy and to apply any additional data privacy policies and processes which are required locally to comply with national legislation. This applies to fully owned as well as partly owned companies.</w:t>
      </w:r>
    </w:p>
    <w:p>
      <w:pPr>
        <w:spacing w:after="200"/>
        <w:jc w:val="both"/>
      </w:pPr>
      <w:r>
        <w:rPr>
          <w:rFonts w:ascii="Avenir Next LT Pro" w:hAnsi="Avenir Next LT Pro"/>
          <w:b/>
          <w:color w:val="1C4076"/>
          <w:sz w:val="22"/>
        </w:rPr>
        <w:t xml:space="preserve">General principles </w:t>
      </w:r>
      <w:r>
        <w:rPr>
          <w:rFonts w:ascii="Avenir Next LT Pro" w:hAnsi="Avenir Next LT Pro"/>
          <w:b w:val="0"/>
          <w:color w:val="1C4076"/>
          <w:sz w:val="22"/>
        </w:rPr>
        <w:t>To ensure a high standard for processing personal data, BioMar Group will adhere to the following general principles in relation to the processing of personal data.</w:t>
      </w:r>
    </w:p>
    <w:p>
      <w:pPr>
        <w:spacing w:after="200"/>
        <w:jc w:val="both"/>
      </w:pPr>
      <w:r>
        <w:rPr>
          <w:rFonts w:ascii="Avenir Next LT Pro" w:hAnsi="Avenir Next LT Pro"/>
          <w:b/>
          <w:color w:val="1C4076"/>
          <w:sz w:val="22"/>
        </w:rPr>
        <w:t>a. Lawfulness and fairness</w:t>
      </w:r>
    </w:p>
    <w:p>
      <w:pPr>
        <w:spacing w:after="200"/>
        <w:jc w:val="both"/>
      </w:pPr>
      <w:r>
        <w:rPr>
          <w:rFonts w:ascii="Avenir Next LT Pro" w:hAnsi="Avenir Next LT Pro"/>
          <w:b w:val="0"/>
          <w:color w:val="1C4076"/>
          <w:sz w:val="22"/>
        </w:rPr>
        <w:t>Personal data will be processed in a lawful and fair manner and in accordance with the Data Subjects’ rights as defined in legislation applying to entire BioMar Group as well as to the local company. The EU/ EAA data protection rules applying to BioMar Group will apply to all subsidiaries and joint ventures as minimum requirements.</w:t>
      </w:r>
    </w:p>
    <w:p>
      <w:pPr>
        <w:spacing w:after="200"/>
        <w:jc w:val="both"/>
      </w:pPr>
      <w:r>
        <w:rPr>
          <w:rFonts w:ascii="Avenir Next LT Pro" w:hAnsi="Avenir Next LT Pro"/>
          <w:b w:val="0"/>
          <w:color w:val="1C4076"/>
          <w:sz w:val="22"/>
        </w:rPr>
        <w:t>If local legislation and EU/EEA data protection rules are conflicting, the local legislation will apply.</w:t>
      </w:r>
    </w:p>
    <w:p>
      <w:pPr>
        <w:spacing w:after="200"/>
        <w:jc w:val="both"/>
      </w:pPr>
      <w:r>
        <w:rPr>
          <w:rFonts w:ascii="Avenir Next LT Pro" w:hAnsi="Avenir Next LT Pro"/>
          <w:b/>
          <w:color w:val="1C4076"/>
          <w:sz w:val="22"/>
        </w:rPr>
        <w:t>b. Purpose limitation</w:t>
      </w:r>
    </w:p>
    <w:p>
      <w:pPr>
        <w:spacing w:after="200"/>
        <w:jc w:val="both"/>
      </w:pPr>
      <w:r>
        <w:rPr>
          <w:rFonts w:ascii="Avenir Next LT Pro" w:hAnsi="Avenir Next LT Pro"/>
          <w:b w:val="0"/>
          <w:color w:val="1C4076"/>
          <w:sz w:val="22"/>
        </w:rPr>
        <w:t>Personal data will only be collected for specified, explicit and legitimate purposes. Further, personal data will solely be used for the purposes for which the data was originally collected for and which the data subject has accepted.</w:t>
      </w:r>
    </w:p>
    <w:p>
      <w:pPr>
        <w:spacing w:after="200"/>
        <w:jc w:val="both"/>
      </w:pPr>
      <w:r>
        <w:rPr>
          <w:rFonts w:ascii="Avenir Next LT Pro" w:hAnsi="Avenir Next LT Pro"/>
          <w:b w:val="0"/>
          <w:color w:val="1C4076"/>
          <w:sz w:val="22"/>
        </w:rPr>
        <w:t>No employee in BioMar must process personal data unless the processing of the data has a clear a legitimate business purpose and the data subject has given acceptance.</w:t>
      </w:r>
    </w:p>
    <w:p>
      <w:pPr>
        <w:spacing w:after="200"/>
        <w:jc w:val="both"/>
      </w:pPr>
      <w:r>
        <w:rPr>
          <w:rFonts w:ascii="Avenir Next LT Pro" w:hAnsi="Avenir Next LT Pro"/>
          <w:b/>
          <w:color w:val="1C4076"/>
          <w:sz w:val="22"/>
        </w:rPr>
        <w:t>c. Transparency</w:t>
      </w:r>
    </w:p>
    <w:p>
      <w:pPr>
        <w:spacing w:after="200"/>
        <w:jc w:val="both"/>
      </w:pPr>
      <w:r>
        <w:rPr>
          <w:rFonts w:ascii="Avenir Next LT Pro" w:hAnsi="Avenir Next LT Pro"/>
          <w:b w:val="0"/>
          <w:color w:val="1C4076"/>
          <w:sz w:val="22"/>
        </w:rPr>
        <w:t>When collecting personal data from Data Subjects or via third parties, it will be ensured that the Data Subject(s) in question will be provided with the information required by applicable law. Furthermore, Data Subjects are at all times entitled to request information on what personal data is collected about them.</w:t>
      </w:r>
    </w:p>
    <w:p>
      <w:pPr>
        <w:spacing w:after="200"/>
        <w:jc w:val="both"/>
      </w:pPr>
      <w:r>
        <w:rPr>
          <w:rFonts w:ascii="Avenir Next LT Pro" w:hAnsi="Avenir Next LT Pro"/>
          <w:b w:val="0"/>
          <w:color w:val="1C4076"/>
          <w:sz w:val="22"/>
        </w:rPr>
        <w:t>Personal data must be stored in systems enabling the company to display transparency upon request.</w:t>
      </w:r>
    </w:p>
    <w:p>
      <w:pPr>
        <w:spacing w:after="200"/>
        <w:jc w:val="both"/>
      </w:pPr>
      <w:r>
        <w:rPr>
          <w:rFonts w:ascii="Avenir Next LT Pro" w:hAnsi="Avenir Next LT Pro"/>
          <w:b/>
          <w:color w:val="1C4076"/>
          <w:sz w:val="22"/>
        </w:rPr>
        <w:t>d. Data minimisation</w:t>
      </w:r>
    </w:p>
    <w:p>
      <w:pPr>
        <w:spacing w:after="200"/>
        <w:jc w:val="both"/>
      </w:pPr>
      <w:r>
        <w:rPr>
          <w:rFonts w:ascii="Avenir Next LT Pro" w:hAnsi="Avenir Next LT Pro"/>
          <w:b w:val="0"/>
          <w:color w:val="1C4076"/>
          <w:sz w:val="22"/>
        </w:rPr>
        <w:t>Any personal data shall be adequate, relevant and limited to what is necessary in relation to the purposes for which they are processed.</w:t>
      </w:r>
    </w:p>
    <w:p>
      <w:pPr>
        <w:spacing w:after="200"/>
        <w:jc w:val="both"/>
      </w:pPr>
      <w:r>
        <w:rPr>
          <w:rFonts w:ascii="Avenir Next LT Pro" w:hAnsi="Avenir Next LT Pro"/>
          <w:b w:val="0"/>
          <w:color w:val="1C4076"/>
          <w:sz w:val="22"/>
        </w:rPr>
        <w:t>In BioMar we only process personal data strictly required to operate the business. We do not process any data related to data subject(s) which is non-work related.</w:t>
      </w:r>
    </w:p>
    <w:p>
      <w:pPr>
        <w:spacing w:after="200"/>
        <w:jc w:val="both"/>
      </w:pPr>
      <w:r>
        <w:rPr>
          <w:rFonts w:ascii="Avenir Next LT Pro" w:hAnsi="Avenir Next LT Pro"/>
          <w:b/>
          <w:color w:val="1C4076"/>
          <w:sz w:val="22"/>
        </w:rPr>
        <w:t>e. Accuracy</w:t>
      </w:r>
    </w:p>
    <w:p>
      <w:pPr>
        <w:spacing w:after="200"/>
        <w:jc w:val="both"/>
      </w:pPr>
      <w:r>
        <w:rPr>
          <w:rFonts w:ascii="Avenir Next LT Pro" w:hAnsi="Avenir Next LT Pro"/>
          <w:b w:val="0"/>
          <w:color w:val="1C4076"/>
          <w:sz w:val="22"/>
        </w:rPr>
        <w:t>Any personal data processed shall be accurate and, where necessary, kept up to date.</w:t>
      </w:r>
    </w:p>
    <w:p>
      <w:pPr>
        <w:spacing w:after="200"/>
        <w:jc w:val="both"/>
      </w:pPr>
      <w:r>
        <w:rPr>
          <w:rFonts w:ascii="Avenir Next LT Pro" w:hAnsi="Avenir Next LT Pro"/>
          <w:b/>
          <w:color w:val="1C4076"/>
          <w:sz w:val="22"/>
        </w:rPr>
        <w:t>f. Storage limitation and retention</w:t>
      </w:r>
    </w:p>
    <w:p>
      <w:pPr>
        <w:spacing w:after="200"/>
        <w:jc w:val="both"/>
      </w:pPr>
      <w:r>
        <w:rPr>
          <w:rFonts w:ascii="Avenir Next LT Pro" w:hAnsi="Avenir Next LT Pro"/>
          <w:b w:val="0"/>
          <w:color w:val="1C4076"/>
          <w:sz w:val="22"/>
        </w:rPr>
        <w:t>Personal data will only be processed in a form which permits identification of Data Subjects for no longer than is necessary for the purposes for which the personal data is collected and processed. Each BioMar Company has in place retention procedures and policies to ensure personal data is deleted in a correct manner.</w:t>
      </w:r>
    </w:p>
    <w:p>
      <w:pPr>
        <w:spacing w:after="200"/>
        <w:jc w:val="both"/>
      </w:pPr>
      <w:r>
        <w:rPr>
          <w:rFonts w:ascii="Avenir Next LT Pro" w:hAnsi="Avenir Next LT Pro"/>
          <w:b w:val="0"/>
          <w:color w:val="1C4076"/>
          <w:sz w:val="22"/>
        </w:rPr>
        <w:t>Any data subject can request personal data to be deleted and the company is obliged to follow the request unless the data is required for legal or justified business purposes. In case of any dispute regarding handling of personal data the data in question must be kept unaltered.</w:t>
      </w:r>
    </w:p>
    <w:p>
      <w:pPr>
        <w:spacing w:after="200"/>
        <w:jc w:val="both"/>
      </w:pPr>
      <w:r>
        <w:rPr>
          <w:rFonts w:ascii="Avenir Next LT Pro" w:hAnsi="Avenir Next LT Pro"/>
          <w:b/>
          <w:color w:val="1C4076"/>
          <w:sz w:val="22"/>
        </w:rPr>
        <w:t>g. Confidentiality</w:t>
      </w:r>
    </w:p>
    <w:p>
      <w:pPr>
        <w:spacing w:after="200"/>
        <w:jc w:val="both"/>
      </w:pPr>
      <w:r>
        <w:rPr>
          <w:rFonts w:ascii="Avenir Next LT Pro" w:hAnsi="Avenir Next LT Pro"/>
          <w:b w:val="0"/>
          <w:color w:val="1C4076"/>
          <w:sz w:val="22"/>
        </w:rPr>
        <w:t>Any personal data that is processed is regarded as confidential information. BioMar Group guarantees confidentiality by ensuring its employees are aware of the confidential nature of personal data and by educating its employees on how and by whom defined categories of personal data may be processed.</w:t>
      </w:r>
    </w:p>
    <w:p>
      <w:pPr>
        <w:spacing w:after="200"/>
        <w:jc w:val="both"/>
      </w:pPr>
      <w:r>
        <w:rPr>
          <w:rFonts w:ascii="Avenir Next LT Pro" w:hAnsi="Avenir Next LT Pro"/>
          <w:b w:val="0"/>
          <w:color w:val="1C4076"/>
          <w:sz w:val="22"/>
        </w:rPr>
        <w:t>Personal data are never to be transferred to non-authorized employees or external cooperation partners unless active and specific consent has been given.</w:t>
      </w:r>
    </w:p>
    <w:p>
      <w:pPr>
        <w:spacing w:after="200"/>
        <w:jc w:val="both"/>
      </w:pPr>
      <w:r>
        <w:rPr>
          <w:rFonts w:ascii="Avenir Next LT Pro" w:hAnsi="Avenir Next LT Pro"/>
          <w:b/>
          <w:color w:val="1C4076"/>
          <w:sz w:val="22"/>
        </w:rPr>
        <w:t>h. Security Standards</w:t>
      </w:r>
    </w:p>
    <w:p>
      <w:pPr>
        <w:spacing w:after="200"/>
        <w:jc w:val="both"/>
      </w:pPr>
      <w:r>
        <w:rPr>
          <w:rFonts w:ascii="Avenir Next LT Pro" w:hAnsi="Avenir Next LT Pro"/>
          <w:b w:val="0"/>
          <w:color w:val="1C4076"/>
          <w:sz w:val="22"/>
        </w:rPr>
        <w:t>BioMar Group and its subsidiaries and joint ventures must have in place technical and organisational security measures to protect personal data against accidental or unlawful destruction, loss or alteration and against unauthorised disclosure, abuse or other processing in violation of applicable law.</w:t>
      </w:r>
    </w:p>
    <w:p>
      <w:pPr>
        <w:spacing w:after="200"/>
        <w:jc w:val="both"/>
      </w:pPr>
      <w:r>
        <w:rPr>
          <w:rFonts w:ascii="Avenir Next LT Pro" w:hAnsi="Avenir Next LT Pro"/>
          <w:b w:val="0"/>
          <w:color w:val="1C4076"/>
          <w:sz w:val="22"/>
        </w:rPr>
        <w:t>To safeguard high standards in terms of data security BioMar Group comply with a comprehensive information policy/IT security policy.</w:t>
      </w:r>
    </w:p>
    <w:p>
      <w:pPr>
        <w:keepNext/>
        <w:spacing w:before="260" w:after="160"/>
      </w:pPr>
      <w:r>
        <w:rPr>
          <w:rFonts w:ascii="Avenir Next LT Pro" w:hAnsi="Avenir Next LT Pro"/>
          <w:b/>
          <w:color w:val="1C4076"/>
          <w:sz w:val="28"/>
        </w:rPr>
        <w:t>Transfer of data and use of data processors</w:t>
      </w:r>
    </w:p>
    <w:p>
      <w:pPr>
        <w:spacing w:after="200"/>
        <w:jc w:val="both"/>
      </w:pPr>
      <w:r>
        <w:rPr>
          <w:rFonts w:ascii="Avenir Next LT Pro" w:hAnsi="Avenir Next LT Pro"/>
          <w:b w:val="0"/>
          <w:color w:val="1C4076"/>
          <w:sz w:val="22"/>
        </w:rPr>
        <w:t>BioMar Group sets a high standard for the processing obligations of suppliers. Therefore, each company shall ensure that all data processing agreements complying with the requirements in our global processor agreements standards are in place with any processors and/or sub-processors used for personal data.</w:t>
      </w:r>
    </w:p>
    <w:p>
      <w:pPr>
        <w:spacing w:after="200"/>
        <w:jc w:val="both"/>
      </w:pPr>
      <w:r>
        <w:rPr>
          <w:rFonts w:ascii="Avenir Next LT Pro" w:hAnsi="Avenir Next LT Pro"/>
          <w:b w:val="0"/>
          <w:color w:val="1C4076"/>
          <w:sz w:val="22"/>
        </w:rPr>
        <w:t>BioMar Group and any subsidiary and joint ventures will only transfer personal data to a country not governed by the EU/EEA data protection rules to the extent the Data Subject has consented to such transfer or if other legal means for transferring data can be identified.</w:t>
      </w:r>
    </w:p>
    <w:p>
      <w:pPr>
        <w:keepNext/>
        <w:spacing w:before="260" w:after="160"/>
      </w:pPr>
      <w:r>
        <w:rPr>
          <w:rFonts w:ascii="Avenir Next LT Pro" w:hAnsi="Avenir Next LT Pro"/>
          <w:b/>
          <w:color w:val="1C4076"/>
          <w:sz w:val="28"/>
        </w:rPr>
        <w:t>Personal data breach</w:t>
      </w:r>
    </w:p>
    <w:p>
      <w:pPr>
        <w:spacing w:after="200"/>
        <w:jc w:val="both"/>
      </w:pPr>
      <w:r>
        <w:rPr>
          <w:rFonts w:ascii="Avenir Next LT Pro" w:hAnsi="Avenir Next LT Pro"/>
          <w:b w:val="0"/>
          <w:color w:val="1C4076"/>
          <w:sz w:val="22"/>
        </w:rPr>
        <w:t>In the event any BioMar company identifies or is informed that the security of the processing of personal data has been compromised or is likely to be compromised, or there in any other way has been an unauthorised or accidental disclosure of or access to personal data, the company shall immediately inform the relevant Data Subjects whose data has or may have been compromised as well as relevant authorities.</w:t>
      </w:r>
    </w:p>
    <w:p>
      <w:pPr>
        <w:spacing w:after="200"/>
        <w:jc w:val="both"/>
      </w:pPr>
      <w:r>
        <w:rPr>
          <w:rFonts w:ascii="Avenir Next LT Pro" w:hAnsi="Avenir Next LT Pro"/>
          <w:b w:val="0"/>
          <w:color w:val="1C4076"/>
          <w:sz w:val="22"/>
        </w:rPr>
        <w:t>Any personal data breach must be handled in accordance with the data breach procedure defined locally to apply with BioMar Personal Data Breach Policy.</w:t>
      </w:r>
    </w:p>
    <w:p>
      <w:pPr>
        <w:keepNext/>
        <w:spacing w:before="260" w:after="160"/>
      </w:pPr>
      <w:r>
        <w:rPr>
          <w:rFonts w:ascii="Avenir Next LT Pro" w:hAnsi="Avenir Next LT Pro"/>
          <w:b/>
          <w:color w:val="1C4076"/>
          <w:sz w:val="28"/>
        </w:rPr>
        <w:t>Data Protection Manager</w:t>
      </w:r>
    </w:p>
    <w:p>
      <w:pPr>
        <w:spacing w:after="200"/>
        <w:jc w:val="both"/>
      </w:pPr>
      <w:r>
        <w:rPr>
          <w:rFonts w:ascii="Avenir Next LT Pro" w:hAnsi="Avenir Next LT Pro"/>
          <w:b w:val="0"/>
          <w:color w:val="1C4076"/>
          <w:sz w:val="22"/>
        </w:rPr>
        <w:t>To ensure compliance with data protection regulation BioMar Group has appointed a Data Protection Manager.</w:t>
      </w:r>
    </w:p>
    <w:p>
      <w:pPr>
        <w:spacing w:after="200"/>
        <w:jc w:val="both"/>
      </w:pPr>
      <w:r>
        <w:rPr>
          <w:rFonts w:ascii="Avenir Next LT Pro" w:hAnsi="Avenir Next LT Pro"/>
          <w:b w:val="0"/>
          <w:color w:val="1C4076"/>
          <w:sz w:val="22"/>
        </w:rPr>
        <w:t>The Data Protection Manager shall oversee compliance with data protection rules, conduct training of relevant BioMar Group companies’ employees, initiate audits and handle all questions with respect to personal data.</w:t>
      </w:r>
    </w:p>
    <w:p>
      <w:pPr>
        <w:keepNext/>
        <w:spacing w:before="260" w:after="160"/>
      </w:pPr>
      <w:r>
        <w:rPr>
          <w:rFonts w:ascii="Avenir Next LT Pro" w:hAnsi="Avenir Next LT Pro"/>
          <w:b/>
          <w:color w:val="1C4076"/>
          <w:sz w:val="28"/>
        </w:rPr>
        <w:t>Audits</w:t>
      </w:r>
    </w:p>
    <w:p>
      <w:pPr>
        <w:spacing w:after="200"/>
        <w:jc w:val="both"/>
      </w:pPr>
      <w:r>
        <w:rPr>
          <w:rFonts w:ascii="Avenir Next LT Pro" w:hAnsi="Avenir Next LT Pro"/>
          <w:b w:val="0"/>
          <w:color w:val="1C4076"/>
          <w:sz w:val="22"/>
        </w:rPr>
        <w:t>The global data policy as well as local data policy must be integrated in the local management system and audited by external auditors.</w:t>
      </w:r>
    </w:p>
    <w:p>
      <w:pPr>
        <w:spacing w:after="200"/>
        <w:jc w:val="both"/>
      </w:pPr>
      <w:r>
        <w:rPr>
          <w:rFonts w:ascii="Avenir Next LT Pro" w:hAnsi="Avenir Next LT Pro"/>
          <w:b w:val="0"/>
          <w:color w:val="1C4076"/>
          <w:sz w:val="22"/>
        </w:rPr>
        <w:t>BioMar Group will run data audits with the view of managing and mitigating risks in all companies belonging to BioMar Group. The audits will be conducted by the Data Protection Manager.</w:t>
      </w:r>
    </w:p>
    <w:p>
      <w:pPr>
        <w:keepNext/>
        <w:spacing w:before="260" w:after="160"/>
      </w:pPr>
      <w:r>
        <w:rPr>
          <w:rFonts w:ascii="Avenir Next LT Pro" w:hAnsi="Avenir Next LT Pro"/>
          <w:b/>
          <w:color w:val="1C4076"/>
          <w:sz w:val="28"/>
        </w:rPr>
        <w:t>Training</w:t>
      </w:r>
    </w:p>
    <w:p>
      <w:pPr>
        <w:spacing w:after="200"/>
        <w:jc w:val="both"/>
      </w:pPr>
      <w:r>
        <w:rPr>
          <w:rFonts w:ascii="Avenir Next LT Pro" w:hAnsi="Avenir Next LT Pro"/>
          <w:b w:val="0"/>
          <w:color w:val="1C4076"/>
          <w:sz w:val="22"/>
        </w:rPr>
        <w:t>All BioMar companies shall be committed to conduct training of its employees regarding applicable data protection rules and this policy.</w:t>
      </w:r>
    </w:p>
    <w:p>
      <w:pPr>
        <w:spacing w:after="200"/>
        <w:jc w:val="both"/>
      </w:pPr>
      <w:r>
        <w:rPr>
          <w:rFonts w:ascii="Avenir Next LT Pro" w:hAnsi="Avenir Next LT Pro"/>
          <w:b w:val="0"/>
          <w:color w:val="1C4076"/>
          <w:sz w:val="22"/>
        </w:rPr>
        <w:t>New employees shall receive training to the extent relevant as part of the introduction process. Training shall be provided on a regular basis and completion of training is compulsory.</w:t>
      </w:r>
    </w:p>
    <w:p>
      <w:pPr>
        <w:keepNext/>
        <w:spacing w:before="260" w:after="160"/>
      </w:pPr>
      <w:r>
        <w:rPr>
          <w:rFonts w:ascii="Avenir Next LT Pro" w:hAnsi="Avenir Next LT Pro"/>
          <w:b/>
          <w:color w:val="1C4076"/>
          <w:sz w:val="28"/>
        </w:rPr>
        <w:t>Compliance Guidelines</w:t>
      </w:r>
    </w:p>
    <w:p>
      <w:pPr>
        <w:spacing w:after="200"/>
        <w:jc w:val="both"/>
      </w:pPr>
      <w:r>
        <w:rPr>
          <w:rFonts w:ascii="Avenir Next LT Pro" w:hAnsi="Avenir Next LT Pro"/>
          <w:b w:val="0"/>
          <w:color w:val="1C4076"/>
          <w:sz w:val="22"/>
        </w:rPr>
        <w:t>Each BioMar Group company shall maintain an overview of personal data being processed in the legal entity, including purpose, risk assessment, method of obtained consent, systems where data are handled, safety measures, storage limitation, training requirements and data access rights. Furthermore the companies must have following measures in place for safeguarding the protection of personal data:</w:t>
      </w:r>
    </w:p>
    <w:p>
      <w:pPr>
        <w:pStyle w:val="ListBullet"/>
        <w:spacing w:after="80"/>
      </w:pPr>
      <w:r>
        <w:rPr>
          <w:rFonts w:ascii="Avenir Next LT Pro" w:hAnsi="Avenir Next LT Pro"/>
          <w:b w:val="0"/>
          <w:color w:val="1C4076"/>
          <w:sz w:val="22"/>
        </w:rPr>
        <w:t>Local data responsible safeguarding compliance with BioMar Group policy</w:t>
      </w:r>
    </w:p>
    <w:p>
      <w:pPr>
        <w:pStyle w:val="ListBullet"/>
        <w:spacing w:after="80"/>
      </w:pPr>
      <w:r>
        <w:rPr>
          <w:rFonts w:ascii="Avenir Next LT Pro" w:hAnsi="Avenir Next LT Pro"/>
          <w:b w:val="0"/>
          <w:color w:val="1C4076"/>
          <w:sz w:val="22"/>
        </w:rPr>
        <w:t>Processes for handling relevant data policy practices such as requests in regards to the data subject’s right to transparency, “to be forgotten” and data breaches</w:t>
      </w:r>
    </w:p>
    <w:p>
      <w:pPr>
        <w:pStyle w:val="ListBullet"/>
        <w:spacing w:after="80"/>
      </w:pPr>
      <w:r>
        <w:rPr>
          <w:rFonts w:ascii="Avenir Next LT Pro" w:hAnsi="Avenir Next LT Pro"/>
          <w:b w:val="0"/>
          <w:color w:val="1C4076"/>
          <w:sz w:val="22"/>
        </w:rPr>
        <w:t>Onboarding training for all employee groups informing about relevant data protection processes and procedures</w:t>
      </w:r>
    </w:p>
    <w:p>
      <w:pPr>
        <w:pStyle w:val="ListBullet"/>
        <w:spacing w:after="80"/>
      </w:pPr>
      <w:r>
        <w:rPr>
          <w:rFonts w:ascii="Avenir Next LT Pro" w:hAnsi="Avenir Next LT Pro"/>
          <w:b w:val="0"/>
          <w:color w:val="1C4076"/>
          <w:sz w:val="22"/>
        </w:rPr>
        <w:t>Local auditing</w:t>
      </w:r>
    </w:p>
    <w:p>
      <w:pPr>
        <w:keepNext/>
        <w:spacing w:before="260" w:after="160"/>
      </w:pPr>
      <w:r>
        <w:rPr>
          <w:rFonts w:ascii="Avenir Next LT Pro" w:hAnsi="Avenir Next LT Pro"/>
          <w:b/>
          <w:color w:val="1C4076"/>
          <w:sz w:val="28"/>
        </w:rPr>
        <w:t>Related documents</w:t>
      </w:r>
    </w:p>
    <w:p>
      <w:pPr>
        <w:spacing w:after="200"/>
        <w:jc w:val="both"/>
      </w:pPr>
      <w:r>
        <w:rPr>
          <w:rFonts w:ascii="Avenir Next LT Pro" w:hAnsi="Avenir Next LT Pro"/>
          <w:b w:val="0"/>
          <w:color w:val="1C4076"/>
          <w:sz w:val="22"/>
        </w:rPr>
        <w:t>a. Guidelines Personal Data Policy b. BioMar Data Breach Policy c. Data Processor Agreement Standards d. Consent for use of picture materials e. Information to employees</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color w:val="FFFFFF"/>
                <w:sz w:val="20"/>
              </w:rPr>
              <w:t>Version history</w:t>
            </w:r>
          </w:p>
        </w:tc>
        <w:tc>
          <w:tcPr>
            <w:tcW w:type="dxa" w:w="5103"/>
            <w:shd w:val="clear" w:fill="1C4076"/>
          </w:tcPr>
          <w:p>
            <w:r>
              <w:rPr>
                <w:rFonts w:ascii="Avenir Next LT Pro" w:hAnsi="Avenir Next LT Pro"/>
                <w:b/>
                <w:color w:val="FFFFFF"/>
                <w:sz w:val="20"/>
              </w:rPr>
              <w:t>Owner and approver</w:t>
            </w:r>
          </w:p>
        </w:tc>
      </w:tr>
      <w:tr>
        <w:tc>
          <w:tcPr>
            <w:tcW w:type="dxa" w:w="5103"/>
          </w:tcPr>
          <w:p>
            <w:r>
              <w:rPr>
                <w:rFonts w:ascii="Avenir Next LT Pro" w:hAnsi="Avenir Next LT Pro"/>
                <w:b/>
                <w:color w:val="1C4076"/>
                <w:sz w:val="18"/>
              </w:rPr>
              <w:t xml:space="preserve">Version 2: </w:t>
            </w:r>
            <w:r>
              <w:rPr>
                <w:rFonts w:ascii="Avenir Next LT Pro" w:hAnsi="Avenir Next LT Pro"/>
                <w:b w:val="0"/>
                <w:color w:val="1C4076"/>
                <w:sz w:val="18"/>
              </w:rPr>
              <w:t>20-01-2026</w:t>
            </w:r>
          </w:p>
          <w:p>
            <w:r>
              <w:rPr>
                <w:rFonts w:ascii="Avenir Next LT Pro" w:hAnsi="Avenir Next LT Pro"/>
                <w:b/>
                <w:color w:val="1C4076"/>
                <w:sz w:val="18"/>
              </w:rPr>
              <w:t xml:space="preserve">Approval date: </w:t>
            </w:r>
            <w:r>
              <w:rPr>
                <w:rFonts w:ascii="Avenir Next LT Pro" w:hAnsi="Avenir Next LT Pro"/>
                <w:b w:val="0"/>
                <w:color w:val="1C4076"/>
                <w:sz w:val="18"/>
              </w:rPr>
              <w:t>20-01-2026</w:t>
            </w:r>
          </w:p>
        </w:tc>
        <w:tc>
          <w:tcPr>
            <w:tcW w:type="dxa" w:w="5103"/>
          </w:tcPr>
          <w:p>
            <w:r>
              <w:rPr>
                <w:rFonts w:ascii="Avenir Next LT Pro" w:hAnsi="Avenir Next LT Pro"/>
                <w:b/>
                <w:color w:val="1C4076"/>
                <w:sz w:val="18"/>
              </w:rPr>
              <w:t xml:space="preserve">Owner: </w:t>
            </w:r>
            <w:r>
              <w:rPr>
                <w:rFonts w:ascii="Avenir Next LT Pro" w:hAnsi="Avenir Next LT Pro"/>
                <w:b w:val="0"/>
                <w:color w:val="1C4076"/>
                <w:sz w:val="18"/>
              </w:rPr>
              <w:t>VP People, Purpose &amp; Communication</w:t>
            </w:r>
          </w:p>
          <w:p>
            <w:r>
              <w:rPr>
                <w:rFonts w:ascii="Avenir Next LT Pro" w:hAnsi="Avenir Next LT Pro"/>
                <w:b/>
                <w:color w:val="1C4076"/>
                <w:sz w:val="18"/>
              </w:rPr>
              <w:t xml:space="preserve">Approver: </w:t>
            </w:r>
            <w:r>
              <w:rPr>
                <w:rFonts w:ascii="Avenir Next LT Pro" w:hAnsi="Avenir Next LT Pro"/>
                <w:b w:val="0"/>
                <w:color w:val="1C4076"/>
                <w:sz w:val="18"/>
              </w:rPr>
              <w:t>Executive Committee</w:t>
            </w:r>
          </w:p>
        </w:tc>
      </w:tr>
    </w:tbl>
    <w:sectPr w:rsidR="00FC693F" w:rsidRPr="0006063C" w:rsidSect="00034616">
      <w:headerReference w:type="default" r:id="rId10"/>
      <w:footerReference w:type="default" r:id="rId11"/>
      <w:pgSz w:w="11906" w:h="16838"/>
      <w:pgMar w:top="1114" w:right="850" w:bottom="1134" w:left="850" w:header="36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6B87A4"/>
        <w:sz w:val="15"/>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25" w:val="right"/>
      </w:tabs>
      <w:jc w:val="left"/>
    </w:pPr>
    <w:r>
      <w:rPr>
        <w:rFonts w:ascii="Avenir Next LT Pro" w:hAnsi="Avenir Next LT Pro"/>
        <w:b/>
        <w:color w:val="1C4076"/>
        <w:sz w:val="16"/>
      </w:rPr>
      <w:t>BioMar Group</w:t>
    </w:r>
    <w:r>
      <w:br/>
    </w:r>
    <w:r>
      <w:rPr>
        <w:rFonts w:ascii="Avenir Next LT Pro" w:hAnsi="Avenir Next LT Pro"/>
        <w:b w:val="0"/>
        <w:color w:val="1C4076"/>
        <w:sz w:val="16"/>
      </w:rPr>
      <w:t>Personal Data Privacy Policy</w:t>
    </w:r>
    <w:r>
      <w:tab/>
      <w:drawing>
        <wp:inline xmlns:a="http://schemas.openxmlformats.org/drawingml/2006/main" xmlns:pic="http://schemas.openxmlformats.org/drawingml/2006/picture">
          <wp:extent cx="469475" cy="450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469475" cy="4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