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07b8x6o7.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120" w:after="80"/>
      </w:pPr>
      <w:r>
        <w:rPr>
          <w:rFonts w:ascii="Avenir Next LT Pro" w:hAnsi="Avenir Next LT Pro"/>
          <w:b/>
          <w:color w:val="1C4076"/>
          <w:sz w:val="24"/>
        </w:rPr>
        <w:t>Objectives</w:t>
      </w:r>
    </w:p>
    <w:p>
      <w:pPr>
        <w:spacing w:after="200"/>
        <w:jc w:val="both"/>
      </w:pPr>
      <w:r>
        <w:rPr>
          <w:rFonts w:ascii="Avenir Next LT Pro" w:hAnsi="Avenir Next LT Pro"/>
          <w:b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120" w:after="80"/>
      </w:pPr>
      <w:r>
        <w:rPr>
          <w:rFonts w:ascii="Avenir Next LT Pro" w:hAnsi="Avenir Next LT Pro"/>
          <w:b/>
          <w:color w:val="1C4076"/>
          <w:sz w:val="24"/>
        </w:rPr>
        <w:t>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fxi ed fee multiples</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color w:val="1C4076"/>
          <w:sz w:val="22"/>
        </w:rPr>
        <w:t>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color w:val="1C4076"/>
          <w:sz w:val="22"/>
        </w:rPr>
        <w:t>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color w:val="1C4076"/>
          <w:sz w:val="22"/>
        </w:rPr>
        <w:t>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color w:val="1C4076"/>
          <w:sz w:val="22"/>
        </w:rPr>
        <w:t>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120" w:after="80"/>
      </w:pPr>
      <w:r>
        <w:rPr>
          <w:rFonts w:ascii="Avenir Next LT Pro" w:hAnsi="Avenir Next LT Pro"/>
          <w:b/>
          <w:color w:val="1C4076"/>
          <w:sz w:val="24"/>
        </w:rPr>
        <w:t>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color w:val="1C4076"/>
          <w:sz w:val="22"/>
        </w:rPr>
        <w:t>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 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 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 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Remuneration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