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r>
        <w:t>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pStyle w:val="Heading2"/>
      </w:pPr>
      <w:r>
        <w:t>Objectives</w:t>
      </w:r>
    </w:p>
    <w:p>
      <w:r>
        <w:t>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r>
        <w:t>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pStyle w:val="Heading2"/>
      </w:pPr>
      <w:r>
        <w:t>Remuneration of the members of the Board of Directors</w:t>
      </w:r>
    </w:p>
    <w:p>
      <w: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Table 1: Remuneration structure of the Board of Directors – fxi ed fee multiples</w:t>
            </w:r>
          </w:p>
        </w:tc>
        <w:tc>
          <w:tcPr>
            <w:tcW w:type="dxa" w:w="2160"/>
          </w:tcPr>
          <w:p>
            <w:r/>
          </w:p>
        </w:tc>
        <w:tc>
          <w:tcPr>
            <w:tcW w:type="dxa" w:w="2160"/>
          </w:tcPr>
          <w:p>
            <w:r/>
          </w:p>
        </w:tc>
        <w:tc>
          <w:tcPr>
            <w:tcW w:type="dxa" w:w="2160"/>
          </w:tcPr>
          <w:p>
            <w:r/>
          </w:p>
        </w:tc>
      </w:tr>
      <w:tr>
        <w:tc>
          <w:tcPr>
            <w:tcW w:type="dxa" w:w="2160"/>
          </w:tcPr>
          <w:p>
            <w:r/>
          </w:p>
        </w:tc>
        <w:tc>
          <w:tcPr>
            <w:tcW w:type="dxa" w:w="2160"/>
          </w:tcPr>
          <w:p>
            <w:r>
              <w:t>Board of Directors</w:t>
            </w:r>
          </w:p>
        </w:tc>
        <w:tc>
          <w:tcPr>
            <w:tcW w:type="dxa" w:w="2160"/>
          </w:tcPr>
          <w:p>
            <w:r>
              <w:t>Audit Committee</w:t>
            </w:r>
          </w:p>
        </w:tc>
        <w:tc>
          <w:tcPr>
            <w:tcW w:type="dxa" w:w="2160"/>
          </w:tcPr>
          <w:p>
            <w:r>
              <w:t>Remuneration and Nomination Committee</w:t>
            </w:r>
          </w:p>
        </w:tc>
      </w:tr>
      <w:tr>
        <w:tc>
          <w:tcPr>
            <w:tcW w:type="dxa" w:w="2160"/>
          </w:tcPr>
          <w:p>
            <w:r>
              <w:t>Chair</w:t>
            </w:r>
          </w:p>
        </w:tc>
        <w:tc>
          <w:tcPr>
            <w:tcW w:type="dxa" w:w="2160"/>
          </w:tcPr>
          <w:p>
            <w:r>
              <w:t>3x Base Fee</w:t>
            </w:r>
          </w:p>
        </w:tc>
        <w:tc>
          <w:tcPr>
            <w:tcW w:type="dxa" w:w="2160"/>
          </w:tcPr>
          <w:p>
            <w:r>
              <w:t>Up to 0.75x Base Fee</w:t>
            </w:r>
          </w:p>
        </w:tc>
        <w:tc>
          <w:tcPr>
            <w:tcW w:type="dxa" w:w="2160"/>
          </w:tcPr>
          <w:p>
            <w:r>
              <w:t>Up to 0.50x Base Fee</w:t>
            </w:r>
          </w:p>
        </w:tc>
      </w:tr>
      <w:tr>
        <w:tc>
          <w:tcPr>
            <w:tcW w:type="dxa" w:w="2160"/>
          </w:tcPr>
          <w:p>
            <w:r>
              <w:t>Vice Chair</w:t>
            </w:r>
          </w:p>
        </w:tc>
        <w:tc>
          <w:tcPr>
            <w:tcW w:type="dxa" w:w="2160"/>
          </w:tcPr>
          <w:p>
            <w:r>
              <w:t>1.5x Base Fee</w:t>
            </w:r>
          </w:p>
        </w:tc>
        <w:tc>
          <w:tcPr>
            <w:tcW w:type="dxa" w:w="2160"/>
          </w:tcPr>
          <w:p>
            <w:r>
              <w:t>—</w:t>
            </w:r>
          </w:p>
        </w:tc>
        <w:tc>
          <w:tcPr>
            <w:tcW w:type="dxa" w:w="2160"/>
          </w:tcPr>
          <w:p>
            <w:r>
              <w:t>—</w:t>
            </w:r>
          </w:p>
        </w:tc>
      </w:tr>
      <w:tr>
        <w:tc>
          <w:tcPr>
            <w:tcW w:type="dxa" w:w="2160"/>
          </w:tcPr>
          <w:p>
            <w:r>
              <w:t>Member</w:t>
            </w:r>
          </w:p>
        </w:tc>
        <w:tc>
          <w:tcPr>
            <w:tcW w:type="dxa" w:w="2160"/>
          </w:tcPr>
          <w:p>
            <w:r>
              <w:t>1x Base Fee</w:t>
            </w:r>
          </w:p>
        </w:tc>
        <w:tc>
          <w:tcPr>
            <w:tcW w:type="dxa" w:w="2160"/>
          </w:tcPr>
          <w:p>
            <w:r>
              <w:t>Up to 0.50x Base Fee</w:t>
            </w:r>
          </w:p>
        </w:tc>
        <w:tc>
          <w:tcPr>
            <w:tcW w:type="dxa" w:w="2160"/>
          </w:tcPr>
          <w:p>
            <w:r>
              <w:t>Up to 0.25x Base Fee</w:t>
            </w:r>
          </w:p>
        </w:tc>
      </w:tr>
    </w:tbl>
    <w:p/>
    <w:p>
      <w:r>
        <w:t>Incentive pay</w:t>
      </w:r>
    </w:p>
    <w:p>
      <w:r>
        <w:t>The Board of Directors shall not receive any incentive pay from the Company.</w:t>
      </w:r>
    </w:p>
    <w:p>
      <w:r>
        <w:t>Ad-hoc tasks</w:t>
      </w:r>
    </w:p>
    <w:p>
      <w: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r>
        <w:t>Benefits and reimbursement of expenses</w:t>
      </w:r>
    </w:p>
    <w:p>
      <w:r>
        <w:t>Expenses such as travel and accommodation relating to board meetings, meetings of board committees and in connection with the performance of specific tasks assigned by the Board of Directors as well as relevant training may be reimbursed by the Company.</w:t>
      </w:r>
    </w:p>
    <w:p>
      <w:r>
        <w:t>The Company may offer to cover social security contributions to the extent imposed by foreign national authorities in relation to fixed fees and reimbursable expenses.</w:t>
      </w:r>
    </w:p>
    <w:p>
      <w:r>
        <w:t>Term</w:t>
      </w:r>
    </w:p>
    <w:p>
      <w:r>
        <w:t>Members of the Board of Directors are elected by the general meeting for a term of one year. Re-election may take place. Members of the Board of Directors are not entitled to separate payments in relation to their resignation from the Board of Directors.</w:t>
      </w:r>
    </w:p>
    <w:p>
      <w:pPr>
        <w:pStyle w:val="Heading2"/>
      </w:pPr>
      <w:r>
        <w:t>Remuneration of Executive Management</w:t>
      </w:r>
    </w:p>
    <w:p>
      <w: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r>
        <w:t>Fixed pay</w:t>
      </w:r>
    </w:p>
    <w:p>
      <w:r>
        <w:t>Members of the Executive Management receive a fixed annual cash base salary. The fixed annual cash base salary is consistent with the market level.</w:t>
      </w:r>
    </w:p>
    <w:p>
      <w:r>
        <w:t>Pension and benefits</w:t>
      </w:r>
    </w:p>
    <w:p>
      <w:r>
        <w:t>4.2.1 Pension</w:t>
      </w:r>
    </w:p>
    <w:p>
      <w: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r>
        <w:t>4.2.2 Benefits</w:t>
      </w:r>
    </w:p>
    <w:p>
      <w: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r>
        <w:t>4.3 Incentive pay</w:t>
      </w:r>
    </w:p>
    <w:p>
      <w:r>
        <w:t>4.3.1 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r>
        <w:t>4.3.2 The Board of Directors may lay down specific terms governing the lapse of incentive arrangements or repayment of incentive pay (clawback) as well as accelerated vesting or exercise, and adjustment of the incentive arrangements, exercise price, performance targets, etc.</w:t>
      </w:r>
    </w:p>
    <w:p>
      <w:r>
        <w:t>4.3.3 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r>
        <w:t>4.3.4 Short-term incentives</w:t>
      </w:r>
    </w:p>
    <w:p>
      <w:r>
        <w:t>4.3.4.1</w:t>
        <w:tab/>
        <w:t>The short-term incentive consists of a cash-based bonus designed to incentivise and encourage the members of Executive Management to perform in alignment with the Group’s short-term objectives.</w:t>
      </w:r>
    </w:p>
    <w:p>
      <w:r>
        <w:t>4.3.4.2</w:t>
        <w:tab/>
        <w:t>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 financial KPIs, that may include ESG/sustainability related objectives as well as individual performance targets. The specific criteria as well as the weight of each criteria may vary from year to year as determined by the Board of Directors.</w:t>
      </w:r>
    </w:p>
    <w:p>
      <w:r>
        <w:t>4.3.4.3</w:t>
        <w:tab/>
        <w:t>The actual payout under the annual cash bonus for a financial year will be decided by the Board of Directors upon recommendation from the Remuneration and Nomination Committee based on assessment of achievement of the pre-established KPIs.</w:t>
      </w:r>
    </w:p>
    <w:p>
      <w:r>
        <w:t>4.3.4.4</w:t>
        <w:tab/>
        <w:t>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r>
        <w:t>4.3.4.5</w:t>
        <w:tab/>
        <w:t>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r>
        <w:t>4.3.5 Long-term incentives</w:t>
      </w:r>
    </w:p>
    <w:p>
      <w:r>
        <w:t>4.3.5.1</w:t>
        <w:tab/>
        <w:t>The long-term incentives are designed to incentivise long-term performance, commitment and retention of the members of Executive Management, as well as to promote alignment of their interests with those of the shareholders.</w:t>
      </w:r>
    </w:p>
    <w:p>
      <w:r>
        <w:t>4.3.5.2</w:t>
        <w:tab/>
        <w:t>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r>
        <w:t>4.3.5.3</w:t>
        <w:tab/>
        <w:t>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r>
        <w:t>4.3.5.4</w:t>
        <w:tab/>
        <w:t>Cash-based long-term incentive</w:t>
      </w:r>
    </w:p>
    <w:p>
      <w:r>
        <w:t>(a) 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r>
        <w:t>(b) The long-term cash-based incentive is granted each year for a three-year period and at the same time the selected KPIs as well as the weight of each criteria are reviewed, determined and, if deemed appropriate, adjusted by the Board of Directors.</w:t>
      </w:r>
    </w:p>
    <w:p>
      <w:r>
        <w:t>(c) 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r>
        <w:t>(d) The long-term cash-based incentive payout will generally be made following the Board of Directors’ approval of the annual report for the last financial year of the three year performance period.</w:t>
      </w:r>
    </w:p>
    <w:p>
      <w:r>
        <w:t>4.3.5.5</w:t>
        <w:tab/>
        <w:t xml:space="preserve"> Share based long-term incentives</w:t>
      </w:r>
    </w:p>
    <w:p>
      <w:r>
        <w:t>(a) Members of Executive Management may be eligible to receive long-term incentives in the form of RSUs or PSUs. The programmes are designed to further align management compensation with the long- 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r>
        <w:t>(b) The programmes are revolving and shall have a vesting or maturity period of three years from the relevant date of grant until the time they vest or mature. The vesting or maturity period shall be determined by the Board of Directors prior to grant.</w:t>
      </w:r>
    </w:p>
    <w:p>
      <w:r>
        <w:t>(c) 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r>
        <w:t>(d) The Company intends to use treasury shares to meet its obligations in relation to long-term share- based incentives. The Board of Directors may decide to satisfy a grant in cash if deemed appropriate.</w:t>
      </w:r>
    </w:p>
    <w:p>
      <w:r>
        <w:t>(e) In line with market practice, share-based incentives shall be subject to good leaver and bad leaver provisions.</w:t>
      </w:r>
    </w:p>
    <w:p>
      <w:r>
        <w:t>4.3.6 Adjustment and repayment of incentive-based remuneration</w:t>
      </w:r>
    </w:p>
    <w:p>
      <w:r>
        <w:t>4.3.6.1</w:t>
        <w:tab/>
        <w:t>In case of extraordinary events, the Board of Directors may lay down specific terms for incentive- 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w:t>
      </w:r>
    </w:p>
    <w:tbl>
      <w:tblPr>
        <w:tblW w:type="auto" w:w="0"/>
        <w:tblLook w:firstColumn="1" w:firstRow="1" w:lastColumn="0" w:lastRow="0" w:noHBand="0" w:noVBand="1" w:val="04A0"/>
      </w:tblPr>
      <w:tblGrid>
        <w:gridCol w:w="4320"/>
        <w:gridCol w:w="4320"/>
      </w:tblGrid>
      <w:tr>
        <w:tc>
          <w:tcPr>
            <w:tcW w:type="dxa" w:w="4320"/>
          </w:tcPr>
          <w:p>
            <w:r>
              <w:t>As adopted by the Board of Directors of BioMar Group on February 27th 2023 to take effect from March 1st 2023.</w:t>
            </w:r>
          </w:p>
          <w:p>
            <w:r>
              <w:t>_______________________</w:t>
            </w:r>
          </w:p>
          <w:p>
            <w:r>
              <w:t>Jens Bjerg Sørensen</w:t>
            </w:r>
          </w:p>
          <w:p>
            <w:r>
              <w:t>_________________________</w:t>
            </w:r>
          </w:p>
          <w:p>
            <w:r>
              <w:t>Asbjørn Reinkind</w:t>
            </w:r>
          </w:p>
          <w:p>
            <w:r>
              <w:t>_______________________</w:t>
            </w:r>
          </w:p>
          <w:p>
            <w:r>
              <w:t>Jørgen Wisborg</w:t>
            </w:r>
          </w:p>
        </w:tc>
        <w:tc>
          <w:tcPr>
            <w:tcW w:type="dxa" w:w="4320"/>
          </w:tcPr>
          <w:p>
            <w:r>
              <w:t>______________________</w:t>
            </w:r>
          </w:p>
          <w:p>
            <w:r>
              <w:t>Marianne Kirkegaard</w:t>
            </w:r>
          </w:p>
          <w:p>
            <w:r>
              <w:t>__________________________</w:t>
            </w:r>
          </w:p>
          <w:p>
            <w:r>
              <w:t>Anders Wilhjelm</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