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r>
        <w:t>Salary is defined as the sum of base salary, allowances, incentives, and benefits. While some components are paid in cash, others have a cash value such as health/life insurance, medical assistance, retirement fund contributions, company car, etc.</w:t>
      </w:r>
    </w:p>
    <w:p>
      <w:pPr>
        <w:pStyle w:val="Heading1"/>
      </w:pPr>
      <w:r>
        <w:t>Scope and field of application</w:t>
      </w:r>
    </w:p>
    <w:p>
      <w:r>
        <w:t>This policy specifies the principles for handling compensation and benefits in BioMar Group and applies to the entire group including JV companies. It applies to all employees regardless of whether they are subject to collective agreement or not.</w:t>
      </w:r>
    </w:p>
    <w:p>
      <w:r>
        <w:t>However, where employees are subject to collective agreements, the salary process will follow country specific and/or local processes to ensure compliance with legislative and local agreements.</w:t>
      </w:r>
    </w:p>
    <w:p>
      <w:pPr>
        <w:pStyle w:val="Heading1"/>
      </w:pPr>
      <w:r>
        <w:t>Organisation</w:t>
      </w:r>
    </w:p>
    <w:p>
      <w:r>
        <w:t>PPC (People, Purpose &amp; Communication) is the owner of BioMar Salary Policy and responsible for the general compensation and benefit practice in BioMar. PPC is responsible for supporting position evaluations and salary evaluations for management levels.</w:t>
      </w:r>
    </w:p>
    <w:p>
      <w:r>
        <w:t>Responsibility for local salary practice lies with Global Directors, VP’s, and MD’s as principal owners. At this level it is decided who will be responsible for Salary Reviews and for communication related to compensation and benefits.</w:t>
      </w:r>
    </w:p>
    <w:p>
      <w:r>
        <w:t>Local HR supports the process at local site level. Where no local HR exists, the local MD will be responsible for defining who will support the process locally.</w:t>
      </w:r>
    </w:p>
    <w:p>
      <w:r>
        <w:t>Local practice for incentives and benefits will be decided by local management in collaboration with Local HR and PPC and Global Finance. All changes in general practice must be agreed with Global HR.</w:t>
      </w:r>
    </w:p>
    <w:p>
      <w:pPr>
        <w:pStyle w:val="Heading1"/>
      </w:pPr>
      <w:r>
        <w:t>Policy Statement</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Pr>
      <w:tblGrid>
        <w:gridCol w:w="4320"/>
        <w:gridCol w:w="4320"/>
      </w:tblGrid>
      <w:tr>
        <w:tc>
          <w:tcPr>
            <w:tcW w:type="dxa" w:w="4320"/>
          </w:tcPr>
          <w:p>
            <w:pPr>
              <w:pStyle w:val="Heading1"/>
            </w:pPr>
            <w:r>
              <w:t>Principle 1: Fair and equal pay for all</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pPr>
              <w:pStyle w:val="Heading2"/>
            </w:pPr>
            <w:r>
              <w:t>Job Evaluation</w:t>
            </w:r>
          </w:p>
          <w:p>
            <w:r>
              <w:t>The evaluation method must address:</w:t>
            </w:r>
          </w:p>
          <w:p>
            <w:pPr>
              <w:pStyle w:val="ListBullet"/>
            </w:pPr>
            <w:r>
              <w:t>Knowledge and competences required in the position</w:t>
            </w:r>
          </w:p>
          <w:p>
            <w:pPr>
              <w:pStyle w:val="ListBullet"/>
            </w:pPr>
            <w:r>
              <w:t>Complexity in the tasks handled in the position</w:t>
            </w:r>
          </w:p>
          <w:p>
            <w:pPr>
              <w:pStyle w:val="ListBullet"/>
            </w:pPr>
            <w:r>
              <w:t>The accountability of the role</w:t>
            </w:r>
          </w:p>
          <w:p>
            <w:r>
              <w:t>Defining Local Market Practice</w:t>
            </w:r>
          </w:p>
          <w:p>
            <w:r>
              <w:t>Defining Job Level</w:t>
            </w:r>
          </w:p>
          <w:p>
            <w:r>
              <w:t>Using benchmarks to define the relevant base salary span, allowances incentives and benefits for the position</w:t>
            </w:r>
          </w:p>
          <w:p>
            <w:r>
              <w:t>Understanding the size of the role by using objective criteria</w:t>
            </w:r>
          </w:p>
        </w:tc>
        <w:tc>
          <w:tcPr>
            <w:tcW w:type="dxa" w:w="4320"/>
          </w:tcPr>
          <w:p>
            <w:r>
              <w:t>Adjustment to performance level</w:t>
            </w:r>
          </w:p>
          <w:p>
            <w:r>
              <w:t>Defining right base salary for the specific employee based upon long term performance</w:t>
            </w:r>
          </w:p>
        </w:tc>
      </w:tr>
    </w:tbl>
    <w:p/>
    <w:p>
      <w: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The application of this evaluation criteria creates an objective and fair process in determining salary at the correct level.</w:t>
      </w:r>
    </w:p>
    <w:p>
      <w:r>
        <w:t>BioMar’s salary evaluation process and compensation analytics use registered employee data which must be collected in accordance with local legislation and our data protection policy.</w:t>
      </w:r>
    </w:p>
    <w:p>
      <w:r>
        <w:t>Our starting point for defining base salary (as well as allowances, benefits, and incentives) is the evaluation of each job (the job description) and not the person.</w:t>
      </w:r>
    </w:p>
    <w:p>
      <w:r>
        <w:t>Role evaluations will be carried out in collaboration with external advisors, HR, and global/ local management.</w:t>
      </w:r>
    </w:p>
    <w:p>
      <w:pPr>
        <w:pStyle w:val="Heading2"/>
      </w:pPr>
      <w:r>
        <w:t>Local Market Practice</w:t>
      </w:r>
    </w:p>
    <w:p>
      <w: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r>
        <w:t>BioMar works continuously to remain one of the most attractive employers for the total employee experience, which embraces factors such as work environment, development, manager support, pay etc.</w:t>
      </w:r>
    </w:p>
    <w:p>
      <w: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r>
        <w:t>The pay of a position must always be based on the country benchmarks in the country where the position is based (office location), unless the pay of the position is defined based upon our Mobility Policy or other specific circumstances approved by PPC.</w:t>
      </w:r>
    </w:p>
    <w:p>
      <w:r>
        <w:t>We strive to achieve that the median of our base salaries in a country corresponds to local market median within 90th and 105th quantile. Deviations to this span must be approved by PPC.</w:t>
      </w:r>
    </w:p>
    <w:p>
      <w:r>
        <w:t>All benchmarks retrieved are based on segments that are comparable to our industry. This means that we aim to achieve benchmarks based on:</w:t>
      </w:r>
    </w:p>
    <w:p>
      <w:pPr>
        <w:pStyle w:val="ListBullet"/>
      </w:pPr>
      <w:r>
        <w:t>Companies in the same geographical area</w:t>
      </w:r>
    </w:p>
    <w:p>
      <w:pPr>
        <w:pStyle w:val="ListBullet"/>
      </w:pPr>
      <w:r>
        <w:t>Companies within production of food/feed (or FMCG)</w:t>
      </w:r>
    </w:p>
    <w:p>
      <w:pPr>
        <w:pStyle w:val="ListBullet"/>
      </w:pPr>
      <w:r>
        <w:t>Companies with industrial production</w:t>
      </w:r>
    </w:p>
    <w:p>
      <w:r>
        <w:t>We do not benchmark with companies within Retail, Oil &amp; Gas, Finance, Service and Mining as those companies very often have different working conditions and pay structures that what we do see in our industry. Hence salaries are not always comparable.</w:t>
      </w:r>
    </w:p>
    <w:p>
      <w:r>
        <w:t>Individual performance</w:t>
      </w:r>
    </w:p>
    <w:p>
      <w: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Pay Guidelines</w:t>
            </w:r>
          </w:p>
        </w:tc>
        <w:tc>
          <w:tcPr>
            <w:tcW w:type="dxa" w:w="2160"/>
          </w:tcPr>
          <w:p>
            <w:r/>
          </w:p>
        </w:tc>
        <w:tc>
          <w:tcPr>
            <w:tcW w:type="dxa" w:w="2160"/>
          </w:tcPr>
          <w:p>
            <w:r/>
          </w:p>
        </w:tc>
        <w:tc>
          <w:tcPr>
            <w:tcW w:type="dxa" w:w="2160"/>
          </w:tcPr>
          <w:p>
            <w:r/>
          </w:p>
        </w:tc>
      </w:tr>
      <w:tr>
        <w:tc>
          <w:tcPr>
            <w:tcW w:type="dxa" w:w="2160"/>
          </w:tcPr>
          <w:p>
            <w:r>
              <w:t>Performance Level</w:t>
            </w:r>
          </w:p>
        </w:tc>
        <w:tc>
          <w:tcPr>
            <w:tcW w:type="dxa" w:w="2160"/>
          </w:tcPr>
          <w:p>
            <w:r>
              <w:t>Below/New</w:t>
            </w:r>
          </w:p>
        </w:tc>
        <w:tc>
          <w:tcPr>
            <w:tcW w:type="dxa" w:w="2160"/>
          </w:tcPr>
          <w:p>
            <w:r>
              <w:t>Good</w:t>
            </w:r>
          </w:p>
        </w:tc>
        <w:tc>
          <w:tcPr>
            <w:tcW w:type="dxa" w:w="2160"/>
          </w:tcPr>
          <w:p>
            <w:r>
              <w:t>Above</w:t>
            </w:r>
          </w:p>
        </w:tc>
      </w:tr>
      <w:tr>
        <w:tc>
          <w:tcPr>
            <w:tcW w:type="dxa" w:w="2160"/>
          </w:tcPr>
          <w:p>
            <w:r>
              <w:t>Quantile of Benchmark</w:t>
            </w:r>
          </w:p>
        </w:tc>
        <w:tc>
          <w:tcPr>
            <w:tcW w:type="dxa" w:w="2160"/>
          </w:tcPr>
          <w:p>
            <w:r>
              <w:t>80-90 (below median)</w:t>
            </w:r>
          </w:p>
        </w:tc>
        <w:tc>
          <w:tcPr>
            <w:tcW w:type="dxa" w:w="2160"/>
          </w:tcPr>
          <w:p>
            <w:r>
              <w:t>90-105 (on median)</w:t>
            </w:r>
          </w:p>
        </w:tc>
        <w:tc>
          <w:tcPr>
            <w:tcW w:type="dxa" w:w="2160"/>
          </w:tcPr>
          <w:p>
            <w:r>
              <w:t>100-120 (above median)</w:t>
            </w:r>
          </w:p>
        </w:tc>
      </w:tr>
    </w:tbl>
    <w:p/>
    <w:p>
      <w: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r>
        <w:t>Incentives</w:t>
      </w:r>
    </w:p>
    <w:p>
      <w:r>
        <w:t>Employees following the corporate incentive scheme must be incentivised according to the Incentive Scheme for Corporate Functions. Other incentive schemes must reflect pay practise in the local market and be agreed with Group CFO and VP PPC</w:t>
      </w:r>
    </w:p>
    <w:p>
      <w:pPr>
        <w:pStyle w:val="Heading1"/>
      </w:pPr>
      <w:r>
        <w:t>Principle 2: Commitment to living wages</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their location.</w:t>
      </w:r>
    </w:p>
    <w:p>
      <w:r>
        <w:t>If pay is evaluated to be below local living wage level, an action plan must be initiated to adjust pay or start job development/upskilling.</w:t>
      </w:r>
    </w:p>
    <w:p>
      <w:r>
        <w:t>Base salary must never be below legal minimum wage.</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Example: Ordinary Salary Adjustment frame: 3,5%</w:t>
            </w:r>
          </w:p>
        </w:tc>
        <w:tc>
          <w:tcPr>
            <w:tcW w:type="dxa" w:w="2160"/>
          </w:tcPr>
          <w:p>
            <w:r/>
          </w:p>
        </w:tc>
        <w:tc>
          <w:tcPr>
            <w:tcW w:type="dxa" w:w="2160"/>
          </w:tcPr>
          <w:p>
            <w:r/>
          </w:p>
        </w:tc>
        <w:tc>
          <w:tcPr>
            <w:tcW w:type="dxa" w:w="2160"/>
          </w:tcPr>
          <w:p>
            <w:r/>
          </w:p>
        </w:tc>
      </w:tr>
      <w:tr>
        <w:tc>
          <w:tcPr>
            <w:tcW w:type="dxa" w:w="2160"/>
          </w:tcPr>
          <w:p>
            <w:r>
              <w:t>Actual Salary</w:t>
            </w:r>
          </w:p>
        </w:tc>
        <w:tc>
          <w:tcPr>
            <w:tcW w:type="dxa" w:w="2160"/>
          </w:tcPr>
          <w:p>
            <w:r>
              <w:t>Low Performer</w:t>
            </w:r>
          </w:p>
        </w:tc>
        <w:tc>
          <w:tcPr>
            <w:tcW w:type="dxa" w:w="2160"/>
          </w:tcPr>
          <w:p>
            <w:r>
              <w:t>Good performer</w:t>
            </w:r>
          </w:p>
        </w:tc>
        <w:tc>
          <w:tcPr>
            <w:tcW w:type="dxa" w:w="2160"/>
          </w:tcPr>
          <w:p>
            <w:r>
              <w:t>High Performer</w:t>
            </w:r>
          </w:p>
        </w:tc>
      </w:tr>
      <w:tr>
        <w:tc>
          <w:tcPr>
            <w:tcW w:type="dxa" w:w="2160"/>
          </w:tcPr>
          <w:p>
            <w:r>
              <w:t>75-90 Quantile</w:t>
            </w:r>
          </w:p>
        </w:tc>
        <w:tc>
          <w:tcPr>
            <w:tcW w:type="dxa" w:w="2160"/>
          </w:tcPr>
          <w:p>
            <w:r>
              <w:t>1,5%</w:t>
            </w:r>
          </w:p>
        </w:tc>
        <w:tc>
          <w:tcPr>
            <w:tcW w:type="dxa" w:w="2160"/>
          </w:tcPr>
          <w:p>
            <w:r>
              <w:t>4,0%</w:t>
            </w:r>
          </w:p>
        </w:tc>
        <w:tc>
          <w:tcPr>
            <w:tcW w:type="dxa" w:w="2160"/>
          </w:tcPr>
          <w:p>
            <w:r>
              <w:t>5,5%</w:t>
            </w:r>
          </w:p>
        </w:tc>
      </w:tr>
      <w:tr>
        <w:tc>
          <w:tcPr>
            <w:tcW w:type="dxa" w:w="2160"/>
          </w:tcPr>
          <w:p>
            <w:r>
              <w:t>85-110 Quantile</w:t>
            </w:r>
          </w:p>
        </w:tc>
        <w:tc>
          <w:tcPr>
            <w:tcW w:type="dxa" w:w="2160"/>
          </w:tcPr>
          <w:p>
            <w:r>
              <w:t>1,0%</w:t>
            </w:r>
          </w:p>
        </w:tc>
        <w:tc>
          <w:tcPr>
            <w:tcW w:type="dxa" w:w="2160"/>
          </w:tcPr>
          <w:p>
            <w:r>
              <w:t>3,5%</w:t>
            </w:r>
          </w:p>
        </w:tc>
        <w:tc>
          <w:tcPr>
            <w:tcW w:type="dxa" w:w="2160"/>
          </w:tcPr>
          <w:p>
            <w:r>
              <w:t>4,5%</w:t>
            </w:r>
          </w:p>
        </w:tc>
      </w:tr>
      <w:tr>
        <w:tc>
          <w:tcPr>
            <w:tcW w:type="dxa" w:w="2160"/>
          </w:tcPr>
          <w:p>
            <w:r>
              <w:t>110-130 Quantile</w:t>
            </w:r>
          </w:p>
        </w:tc>
        <w:tc>
          <w:tcPr>
            <w:tcW w:type="dxa" w:w="2160"/>
          </w:tcPr>
          <w:p>
            <w:r>
              <w:t>0,5%</w:t>
            </w:r>
          </w:p>
        </w:tc>
        <w:tc>
          <w:tcPr>
            <w:tcW w:type="dxa" w:w="2160"/>
          </w:tcPr>
          <w:p>
            <w:r>
              <w:t>2,0%</w:t>
            </w:r>
          </w:p>
        </w:tc>
        <w:tc>
          <w:tcPr>
            <w:tcW w:type="dxa" w:w="2160"/>
          </w:tcPr>
          <w:p>
            <w:r>
              <w:t>3,5%</w:t>
            </w:r>
          </w:p>
        </w:tc>
      </w:tr>
    </w:tbl>
    <w:p/>
    <w:p>
      <w: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Pr>
      <w:tblGrid>
        <w:gridCol w:w="4320"/>
        <w:gridCol w:w="4320"/>
      </w:tblGrid>
      <w:tr>
        <w:tc>
          <w:tcPr>
            <w:tcW w:type="dxa" w:w="4320"/>
          </w:tcPr>
          <w:p>
            <w:r>
              <w:t>Salary Communi- cation</w:t>
            </w:r>
          </w:p>
          <w:p>
            <w:r>
              <w:t>Salary Review</w:t>
            </w:r>
          </w:p>
        </w:tc>
        <w:tc>
          <w:tcPr>
            <w:tcW w:type="dxa" w:w="4320"/>
          </w:tcPr>
          <w:p>
            <w:r>
              <w:t>Budget</w:t>
            </w:r>
          </w:p>
          <w:p>
            <w:r>
              <w:t>PDD</w:t>
            </w:r>
          </w:p>
        </w:tc>
      </w:tr>
    </w:tbl>
    <w:p/>
    <w:p>
      <w: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r>
        <w:t>The budget frame for both types of adjustments are made the year before based on a combined assessment of the need for salary adjustments and the financial capabilities the business.</w:t>
      </w:r>
    </w:p>
    <w:p>
      <w:r>
        <w:t>All units must define the dates and details of the yearly cycle and communicate these to Global HR.</w:t>
      </w:r>
    </w:p>
    <w:p>
      <w: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r>
        <w:t>Every worker has the right to terminate their employment with BioMar and with the provision of reasonable notice to fully receive all entitled salary and benefits.</w:t>
      </w:r>
    </w:p>
    <w:p>
      <w:pPr>
        <w:pStyle w:val="Heading1"/>
      </w:pPr>
      <w:r>
        <w:t>13. References</w:t>
      </w:r>
    </w:p>
    <w:p>
      <w:r>
        <w:t>BioMar documents: (If no date is given, the latest issue applies)</w:t>
      </w:r>
    </w:p>
    <w:p>
      <w: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