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320"/>
        <w:gridCol w:w="4320"/>
      </w:tblGrid>
      <w:tr>
        <w:tc>
          <w:tcPr>
            <w:tcW w:type="dxa" w:w="4320"/>
          </w:tcPr>
          <w:p>
            <w:pPr>
              <w:pStyle w:val="Heading2"/>
            </w:pPr>
            <w:r>
              <w:t>Introduction</w:t>
            </w:r>
          </w:p>
          <w:p>
            <w:r>
              <w:t>All employees should be able to travel</w:t>
            </w:r>
          </w:p>
          <w:p>
            <w:r>
              <w:t>in a safe and healthy manner.</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pPr>
              <w:pStyle w:val="Heading1"/>
            </w:pPr>
            <w:r>
              <w:t>Principle 1: Travel insurance must be in place</w:t>
            </w:r>
          </w:p>
        </w:tc>
        <w:tc>
          <w:tcPr>
            <w:tcW w:type="dxa" w:w="4320"/>
          </w:tcPr>
          <w:p>
            <w:r>
              <w:t>Cost-consciousness should be practiced</w:t>
            </w:r>
          </w:p>
          <w:p>
            <w:r>
              <w:t>by all employees and managers</w:t>
            </w:r>
          </w:p>
        </w:tc>
      </w:tr>
    </w:tbl>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t>Health &amp; Safety Cost-Consciouness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