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ie608tnj.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1 Introduction</w:t>
      </w:r>
    </w:p>
    <w:p>
      <w:pPr>
        <w:spacing w:after="200"/>
        <w:jc w:val="both"/>
      </w:pPr>
      <w:r>
        <w:rPr>
          <w:rFonts w:ascii="Avenir Next LT Pro" w:hAnsi="Avenir Next LT Pro"/>
          <w:b w:val="0"/>
          <w:i w:val="0"/>
          <w:color w:val="1C4076"/>
          <w:sz w:val="22"/>
        </w:rPr>
        <w:t>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w:t>
      </w:r>
    </w:p>
    <w:p>
      <w:pPr>
        <w:spacing w:after="200"/>
        <w:jc w:val="both"/>
      </w:pPr>
      <w:r>
        <w:rPr>
          <w:rFonts w:ascii="Avenir Next LT Pro" w:hAnsi="Avenir Next LT Pro"/>
          <w:b w:val="0"/>
          <w:i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equality and inclusion in their organisations.</w:t>
      </w:r>
    </w:p>
    <w:p>
      <w:pPr>
        <w:spacing w:after="200"/>
        <w:jc w:val="both"/>
      </w:pPr>
      <w:r>
        <w:rPr>
          <w:rFonts w:ascii="Avenir Next LT Pro" w:hAnsi="Avenir Next LT Pro"/>
          <w:b w:val="0"/>
          <w:i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i w:val="0"/>
          <w:color w:val="1C4076"/>
          <w:sz w:val="28"/>
        </w:rPr>
        <w:t>2 Our commitment</w:t>
      </w:r>
    </w:p>
    <w:p>
      <w:pPr>
        <w:spacing w:after="200"/>
        <w:jc w:val="both"/>
      </w:pPr>
      <w:r>
        <w:rPr>
          <w:rFonts w:ascii="Avenir Next LT Pro" w:hAnsi="Avenir Next LT Pro"/>
          <w:b w:val="0"/>
          <w:i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i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i w:val="0"/>
          <w:color w:val="1C4076"/>
          <w:sz w:val="22"/>
        </w:rPr>
        <w:t>It is our principles that:</w:t>
      </w:r>
    </w:p>
    <w:p>
      <w:pPr>
        <w:pStyle w:val="ListBullet"/>
        <w:spacing w:after="80"/>
      </w:pPr>
      <w:r>
        <w:rPr>
          <w:rFonts w:ascii="Avenir Next LT Pro" w:hAnsi="Avenir Next LT Pro"/>
          <w:b w:val="0"/>
          <w:i w:val="0"/>
          <w:color w:val="1C4076"/>
          <w:sz w:val="22"/>
        </w:rPr>
        <w:t>We strive for diversity, equality, and inclusion at all levels in the organisation</w:t>
      </w:r>
    </w:p>
    <w:p>
      <w:pPr>
        <w:pStyle w:val="ListBullet"/>
        <w:spacing w:after="80"/>
      </w:pPr>
      <w:r>
        <w:rPr>
          <w:rFonts w:ascii="Avenir Next LT Pro" w:hAnsi="Avenir Next LT Pro"/>
          <w:b w:val="0"/>
          <w:i w:val="0"/>
          <w:color w:val="1C4076"/>
          <w:sz w:val="22"/>
        </w:rPr>
        <w:t>We are committed to building a culture recognizing the inherent value of all human beings</w:t>
      </w:r>
    </w:p>
    <w:p>
      <w:pPr>
        <w:pStyle w:val="ListBullet"/>
        <w:spacing w:after="80"/>
      </w:pPr>
      <w:r>
        <w:rPr>
          <w:rFonts w:ascii="Avenir Next LT Pro" w:hAnsi="Avenir Next LT Pro"/>
          <w:b w:val="0"/>
          <w:i w:val="0"/>
          <w:color w:val="1C4076"/>
          <w:sz w:val="22"/>
        </w:rPr>
        <w:t>We strive to be flexible in supporting employee differences</w:t>
      </w:r>
    </w:p>
    <w:p>
      <w:pPr>
        <w:pStyle w:val="ListBullet"/>
        <w:spacing w:after="80"/>
      </w:pPr>
      <w:r>
        <w:rPr>
          <w:rFonts w:ascii="Avenir Next LT Pro" w:hAnsi="Avenir Next LT Pro"/>
          <w:b w:val="0"/>
          <w:i w:val="0"/>
          <w:color w:val="1C4076"/>
          <w:sz w:val="22"/>
        </w:rPr>
        <w:t>We train our managers to understand and act on the importance of diversity</w:t>
      </w:r>
    </w:p>
    <w:p>
      <w:pPr>
        <w:keepNext/>
        <w:spacing w:before="260" w:after="160"/>
      </w:pPr>
      <w:r>
        <w:rPr>
          <w:rFonts w:ascii="Avenir Next LT Pro" w:hAnsi="Avenir Next LT Pro"/>
          <w:b/>
          <w:i w:val="0"/>
          <w:color w:val="1C4076"/>
          <w:sz w:val="28"/>
        </w:rPr>
        <w:t>3 Inclusion of underrepresented talent</w:t>
      </w:r>
    </w:p>
    <w:p>
      <w:pPr>
        <w:spacing w:after="200"/>
        <w:jc w:val="both"/>
      </w:pPr>
      <w:r>
        <w:rPr>
          <w:rFonts w:ascii="Avenir Next LT Pro" w:hAnsi="Avenir Next LT Pro"/>
          <w:b w:val="0"/>
          <w:i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equality (see below on BioMar’s statutory obligations and initiatives on gender balance in management).</w:t>
      </w:r>
    </w:p>
    <w:p>
      <w:pPr>
        <w:spacing w:after="200"/>
        <w:jc w:val="both"/>
      </w:pPr>
      <w:r>
        <w:rPr>
          <w:rFonts w:ascii="Avenir Next LT Pro" w:hAnsi="Avenir Next LT Pro"/>
          <w:b w:val="0"/>
          <w:i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i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i w:val="0"/>
          <w:color w:val="1C4076"/>
          <w:sz w:val="22"/>
        </w:rPr>
        <w:t>At the same time, we commit to safeguarding policies and practices for remuneration, which are gender neutral and to the widest extent possible support the principle of equal pay for work of equal value.</w:t>
      </w:r>
    </w:p>
    <w:p>
      <w:pPr>
        <w:spacing w:after="200"/>
        <w:jc w:val="both"/>
      </w:pPr>
      <w:r>
        <w:rPr>
          <w:rFonts w:ascii="Avenir Next LT Pro" w:hAnsi="Avenir Next LT Pro"/>
          <w:b w:val="0"/>
          <w:i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i w:val="0"/>
          <w:color w:val="1C4076"/>
          <w:sz w:val="28"/>
        </w:rPr>
        <w:t>4 Diversity in management</w:t>
      </w:r>
    </w:p>
    <w:p>
      <w:pPr>
        <w:spacing w:after="200"/>
        <w:jc w:val="both"/>
      </w:pPr>
      <w:r>
        <w:rPr>
          <w:rFonts w:ascii="Avenir Next LT Pro" w:hAnsi="Avenir Next LT Pro"/>
          <w:b w:val="0"/>
          <w:i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i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i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i w:val="0"/>
          <w:color w:val="1C4076"/>
          <w:sz w:val="28"/>
        </w:rPr>
        <w:t>5 Gender diversity in management</w:t>
      </w:r>
    </w:p>
    <w:p>
      <w:pPr>
        <w:spacing w:after="200"/>
        <w:jc w:val="both"/>
      </w:pPr>
      <w:r>
        <w:rPr>
          <w:rFonts w:ascii="Avenir Next LT Pro" w:hAnsi="Avenir Next LT Pro"/>
          <w:b w:val="0"/>
          <w:i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i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i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i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pStyle w:val="ListBullet"/>
        <w:spacing w:after="80"/>
      </w:pPr>
      <w:r>
        <w:rPr>
          <w:rFonts w:ascii="Avenir Next LT Pro" w:hAnsi="Avenir Next LT Pro"/>
          <w:b w:val="0"/>
          <w:i w:val="0"/>
          <w:color w:val="1C4076"/>
          <w:sz w:val="22"/>
        </w:rPr>
        <w:t>striving to ensure representation of both genders among the final candidates when recruiting for management positions</w:t>
      </w:r>
    </w:p>
    <w:p>
      <w:pPr>
        <w:pStyle w:val="ListBullet"/>
        <w:spacing w:after="80"/>
      </w:pPr>
      <w:r>
        <w:rPr>
          <w:rFonts w:ascii="Avenir Next LT Pro" w:hAnsi="Avenir Next LT Pro"/>
          <w:b w:val="0"/>
          <w:i w:val="0"/>
          <w:color w:val="1C4076"/>
          <w:sz w:val="22"/>
        </w:rPr>
        <w:t>building and monitoring a leadership talent pipeline, where increased diversity at entry management levels supports future diversity in senior management</w:t>
      </w:r>
    </w:p>
    <w:p>
      <w:pPr>
        <w:pStyle w:val="ListBullet"/>
        <w:spacing w:after="80"/>
      </w:pPr>
      <w:r>
        <w:rPr>
          <w:rFonts w:ascii="Avenir Next LT Pro" w:hAnsi="Avenir Next LT Pro"/>
          <w:b w:val="0"/>
          <w:i w:val="0"/>
          <w:color w:val="1C4076"/>
          <w:sz w:val="22"/>
        </w:rPr>
        <w:t>ensuring that employees experience equal opportunities in respect of career advancement, regardless of gender</w:t>
      </w:r>
    </w:p>
    <w:p>
      <w:pPr>
        <w:pStyle w:val="ListBullet"/>
        <w:spacing w:after="80"/>
      </w:pPr>
      <w:r>
        <w:rPr>
          <w:rFonts w:ascii="Avenir Next LT Pro" w:hAnsi="Avenir Next LT Pro"/>
          <w:b w:val="0"/>
          <w:i w:val="0"/>
          <w:color w:val="1C4076"/>
          <w:sz w:val="22"/>
        </w:rPr>
        <w:t>promoting remuneration practices that are gender neutral and support the principle of equal pay for work of equal value</w:t>
      </w:r>
    </w:p>
    <w:p>
      <w:pPr>
        <w:spacing w:after="200"/>
        <w:jc w:val="both"/>
      </w:pPr>
      <w:r>
        <w:rPr>
          <w:rFonts w:ascii="Avenir Next LT Pro" w:hAnsi="Avenir Next LT Pro"/>
          <w:b w:val="0"/>
          <w:i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i w:val="0"/>
          <w:color w:val="1C4076"/>
          <w:sz w:val="22"/>
        </w:rPr>
        <w:t>Governance, review and related policies</w:t>
      </w:r>
    </w:p>
    <w:p>
      <w:pPr>
        <w:spacing w:after="200"/>
        <w:jc w:val="both"/>
      </w:pPr>
      <w:r>
        <w:rPr>
          <w:rFonts w:ascii="Avenir Next LT Pro" w:hAnsi="Avenir Next LT Pro"/>
          <w:b w:val="0"/>
          <w:i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i w:val="0"/>
          <w:color w:val="1C4076"/>
          <w:sz w:val="22"/>
        </w:rPr>
        <w:t>The following policies support the implementation of the BioMar Diversity Policy:</w:t>
      </w:r>
    </w:p>
    <w:p>
      <w:pPr>
        <w:spacing w:after="200"/>
        <w:jc w:val="both"/>
      </w:pPr>
      <w:r>
        <w:rPr>
          <w:rFonts w:ascii="Avenir Next LT Pro" w:hAnsi="Avenir Next LT Pro"/>
          <w:b w:val="0"/>
          <w:i w:val="0"/>
          <w:color w:val="1C4076"/>
          <w:sz w:val="22"/>
        </w:rPr>
        <w:t>• Code of Conduct.</w:t>
      </w:r>
    </w:p>
    <w:p>
      <w:pPr>
        <w:spacing w:after="200"/>
        <w:jc w:val="both"/>
      </w:pPr>
      <w:r>
        <w:rPr>
          <w:rFonts w:ascii="Avenir Next LT Pro" w:hAnsi="Avenir Next LT Pro"/>
          <w:b w:val="0"/>
          <w:i w:val="0"/>
          <w:color w:val="1C4076"/>
          <w:sz w:val="22"/>
        </w:rPr>
        <w:t>• Human Rights Policy.</w:t>
      </w:r>
    </w:p>
    <w:p>
      <w:pPr>
        <w:spacing w:after="200"/>
        <w:jc w:val="both"/>
      </w:pPr>
      <w:r>
        <w:rPr>
          <w:rFonts w:ascii="Avenir Next LT Pro" w:hAnsi="Avenir Next LT Pro"/>
          <w:b w:val="0"/>
          <w:i w:val="0"/>
          <w:color w:val="1C4076"/>
          <w:sz w:val="22"/>
        </w:rPr>
        <w:t>• Responsible Sourcing Policy.</w:t>
      </w:r>
    </w:p>
    <w:p>
      <w:pPr>
        <w:spacing w:after="200"/>
        <w:jc w:val="both"/>
      </w:pPr>
      <w:r>
        <w:rPr>
          <w:rFonts w:ascii="Avenir Next LT Pro" w:hAnsi="Avenir Next LT Pro"/>
          <w:b w:val="0"/>
          <w:i w:val="0"/>
          <w:color w:val="1C4076"/>
          <w:sz w:val="22"/>
        </w:rPr>
        <w:t>• Supplier Code of Conduct.</w:t>
      </w:r>
    </w:p>
    <w:p>
      <w:pPr>
        <w:spacing w:after="200"/>
        <w:jc w:val="both"/>
      </w:pPr>
      <w:r>
        <w:rPr>
          <w:rFonts w:ascii="Avenir Next LT Pro" w:hAnsi="Avenir Next LT Pro"/>
          <w:b w:val="0"/>
          <w:i w:val="0"/>
          <w:color w:val="1C4076"/>
          <w:sz w:val="22"/>
        </w:rPr>
        <w:t>• Responsible Employment Policy.</w:t>
      </w:r>
    </w:p>
    <w:p>
      <w:pPr>
        <w:spacing w:after="200"/>
        <w:jc w:val="both"/>
      </w:pPr>
      <w:r>
        <w:rPr>
          <w:rFonts w:ascii="Avenir Next LT Pro" w:hAnsi="Avenir Next LT Pro"/>
          <w:b w:val="0"/>
          <w:i w:val="0"/>
          <w:color w:val="1C4076"/>
          <w:sz w:val="22"/>
        </w:rPr>
        <w:t>• Compensation Policy.</w:t>
      </w:r>
    </w:p>
    <w:p>
      <w:pPr>
        <w:spacing w:after="200"/>
        <w:jc w:val="both"/>
      </w:pPr>
      <w:r>
        <w:rPr>
          <w:rFonts w:ascii="Avenir Next LT Pro" w:hAnsi="Avenir Next LT Pro"/>
          <w:b w:val="0"/>
          <w:i w:val="0"/>
          <w:color w:val="1C4076"/>
          <w:sz w:val="22"/>
        </w:rPr>
        <w:t>• Other relevant compliance policies and procedures applicable from time to time.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