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4_c6t7f.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These Internal Rules have been prepared to ensure BioMar Group A/S, CVR no. 38 57 06 17 (the “Company” and together with its subsidiaries, the “Group”), compliance with its disclosure obligations as a listed company with its shares admitted to trading and official listing on Nasdaq Copenhagen A/S (“Nasdaq Copenhagen”) in accordance with the Regulation (EU) No. 596/2014 (the “Market Abuse Regulation”) and delegated and implementing acts issued pursuant hereto, the Danish Capital Markets Act (the “Capital Markets Act”) and related executive orders as well the Nasdaq Nordic Main Market Rulebook for Issuers of Shares (the “Rules for Issuers”).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These Internal Rules shall ensure that the Company provides the market with timely, reliable, accurate and up-to-date information. The Internal Rules constitutes the Company’s information policy as required under section 2.15.3(b) of the Rules for Issuers. The Company has further adopted an Investor Relations Policy which sets the framework for the Company’s communication with the investors, analysts and other stakeholders in the capital market.</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Defined terms used in these Internal Rules are set out in Appendix A.</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The rules set out herein shall be strictly adhered to. A breach of the Company’s disclosure obligations may result in public prosecution, a reprimand and/or a fine.</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These rules are reviewed regularly and at least once a year by the Company’s Board of Directors and Executive Management.</w:t>
      </w:r>
    </w:p>
    <w:p>
      <w:pPr>
        <w:keepNext/>
        <w:tabs>
          <w:tab w:pos="708" w:val="left"/>
        </w:tabs>
        <w:spacing w:before="260" w:after="160"/>
        <w:ind w:left="708" w:hanging="708"/>
      </w:pPr>
      <w:r>
        <w:rPr>
          <w:rFonts w:ascii="Avenir Next LT Pro" w:hAnsi="Avenir Next LT Pro"/>
          <w:b/>
          <w:i w:val="0"/>
          <w:color w:val="1C4076"/>
          <w:sz w:val="28"/>
        </w:rPr>
        <w:t>2</w:t>
        <w:tab/>
        <w:t>Persons responsible for compliance with the disclosure obligations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Together with the Board of Directors, the Executive Management is primarily responsible for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To assist the Executive Management, the Executive Management has established a Disclosure Committee currently consisting of the CEO, the CFO, the Chief Legal Officer, VP Strategy, Business Development &amp; M&amp;A and VP People, Purpose &amp; Communication. The responsibilities of the Disclosure Committee are set out in a separate Charter for the Disclosure Committee.</w:t>
      </w:r>
    </w:p>
    <w:p>
      <w:pPr>
        <w:keepNext/>
        <w:tabs>
          <w:tab w:pos="708" w:val="left"/>
        </w:tabs>
        <w:spacing w:before="260" w:after="160"/>
        <w:ind w:left="708" w:hanging="708"/>
      </w:pPr>
      <w:r>
        <w:rPr>
          <w:rFonts w:ascii="Avenir Next LT Pro" w:hAnsi="Avenir Next LT Pro"/>
          <w:b/>
          <w:i w:val="0"/>
          <w:color w:val="1C4076"/>
          <w:sz w:val="28"/>
        </w:rPr>
        <w:t>3</w:t>
        <w:tab/>
        <w:t>Disclosure of Inside Information (general disclosure obligation)</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Company shall as soon as possible publicly disclose Inside Information, unless the Company is able to delay disclosure, see section 4. Inside Information is non-public information of a precise nature relating to the Group which if made public would be likely to have a significant effect on any securities issued by the Company and thus be of importance to a reasonable investor when making a decision whether to invest in securities issued by the Company. For a more detailed definition of Inside Information please refer to Appendix B. Significant changes concerning already publicly disclosed Inside Information shall be publicly disclosed promptly after these changes occur, and through the same channel as the one used for public disclosure of the original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Where Inside Information concerns a process which occurs in stages, each stage of the process as well as the overall process could constitute Inside Information and, thus, trigger the Company’s general disclosure obligation until 5 June 2026 where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Disclosure Committee shall assist the Executive Management and Board of Directors in their assessment of whether a matter is likely to constitute or constitutes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Any decision to disclose Inside Information or delay disclosure is made by the Executive Management together with the Chair of the Board of Directors and, if deemed relevant or requested, the Board of Directors based on recommendation from the Disclosure Committee.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The Company shall, to the extent possible, prepare draft announcements to facilitate disclosure as soon as possible if it is apparent that certain information may become Inside Information. If such information relates to scenarios with only a limited number of expected outcomes, the Company shall prepare alternative draft announcements for each outcome.</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In addition to the general disclosure obligations set out above, the Company is subject to certain specific disclosure requirements pursuant to the Capital Markets Act, the Danish Companies Act and the Rules for Issuers that require the Company to inform the market, inter alia, in case of amendments to the capital structure, changes to the Board of Directors and Executive Management and transactions with related parties. Moreover, the Company is subject to certain regular disclosure requirements that apply on a continuous basis, inter alia, in connection with general meetings of the Company and financial reporting. These disclosure obligations apply regardless of whether or not such matters constitute Inside Information. The definition of Inside Information and a non-exhaustive list of circumstances, which may constitute Inside Information and would thus be comprised by the Company’s general disclosure obligation, are set out in the definition of Inside Information in Appendix B.</w:t>
      </w:r>
    </w:p>
    <w:p>
      <w:pPr>
        <w:keepNext/>
        <w:tabs>
          <w:tab w:pos="708" w:val="left"/>
        </w:tabs>
        <w:spacing w:before="260" w:after="160"/>
        <w:ind w:left="708" w:hanging="708"/>
      </w:pPr>
      <w:r>
        <w:rPr>
          <w:rFonts w:ascii="Avenir Next LT Pro" w:hAnsi="Avenir Next LT Pro"/>
          <w:b/>
          <w:i w:val="0"/>
          <w:color w:val="1C4076"/>
          <w:sz w:val="28"/>
        </w:rPr>
        <w:t>4</w:t>
        <w:tab/>
        <w:t>Delay of disclosure of Inside Information</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Company may at its own responsibility delay the disclosure to the public of Inside Information provided that all of the following conditions are met:</w:t>
      </w:r>
    </w:p>
    <w:p>
      <w:pPr>
        <w:tabs>
          <w:tab w:pos="1416" w:val="left"/>
        </w:tabs>
        <w:spacing w:after="80"/>
        <w:ind w:left="1416" w:hanging="708"/>
      </w:pPr>
      <w:r>
        <w:rPr>
          <w:rFonts w:ascii="Avenir Next LT Pro" w:hAnsi="Avenir Next LT Pro"/>
          <w:b w:val="0"/>
          <w:i w:val="0"/>
          <w:color w:val="1C4076"/>
          <w:sz w:val="22"/>
        </w:rPr>
        <w:t>(a)</w:t>
        <w:tab/>
        <w:t>Immediate disclosure is likely to prejudice the Company’s legitimate interests;</w:t>
      </w:r>
    </w:p>
    <w:p>
      <w:pPr>
        <w:tabs>
          <w:tab w:pos="1416" w:val="left"/>
        </w:tabs>
        <w:spacing w:after="80"/>
        <w:ind w:left="1416" w:hanging="708"/>
      </w:pPr>
      <w:r>
        <w:rPr>
          <w:rFonts w:ascii="Avenir Next LT Pro" w:hAnsi="Avenir Next LT Pro"/>
          <w:b w:val="0"/>
          <w:i w:val="0"/>
          <w:color w:val="1C4076"/>
          <w:sz w:val="22"/>
        </w:rPr>
        <w:t>(b)</w:t>
        <w:tab/>
        <w:t>delay of disclosure is not likely to mislead the public (on 5 June 2026 an amendment to Article 17 of the Market Abuse Regulation enters into force and the condition is amended to the effect that the Inside Information, which is subject to delay of disclosure may not be in contrast with the latest public announcement or other type of communication by the Company on the matter to which the Inside Information relates. However, this is consistent with the existing guidelines from ESMA and thus not expected to change the current practice significantly); and</w:t>
      </w:r>
    </w:p>
    <w:p>
      <w:pPr>
        <w:tabs>
          <w:tab w:pos="1416" w:val="left"/>
        </w:tabs>
        <w:spacing w:after="80"/>
        <w:ind w:left="1416" w:hanging="708"/>
      </w:pPr>
      <w:r>
        <w:rPr>
          <w:rFonts w:ascii="Avenir Next LT Pro" w:hAnsi="Avenir Next LT Pro"/>
          <w:b w:val="0"/>
          <w:i w:val="0"/>
          <w:color w:val="1C4076"/>
          <w:sz w:val="22"/>
        </w:rPr>
        <w:t>(c)</w:t>
        <w:tab/>
        <w:t>the Company is able to ensure the confidentiality of the Inside Information in question.</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right to delay the disclosure of Inside Information shall apply similarly in the case of a protracted process that occurs in stages and that is intended to bring about, or that results in, a particular circumstance or a particular event. On 5 June 2026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assessment of whether the Company’s legitimate interests may be prejudiced is made on a case-by-case basis. The Company’s legitimate interests may be prejudiced in the following non-exhaustive situations:</w:t>
      </w:r>
    </w:p>
    <w:p>
      <w:pPr>
        <w:tabs>
          <w:tab w:pos="1416" w:val="left"/>
        </w:tabs>
        <w:spacing w:after="80"/>
        <w:ind w:left="1416" w:hanging="708"/>
      </w:pPr>
      <w:r>
        <w:rPr>
          <w:rFonts w:ascii="Avenir Next LT Pro" w:hAnsi="Avenir Next LT Pro"/>
          <w:b w:val="0"/>
          <w:i w:val="0"/>
          <w:color w:val="1C4076"/>
          <w:sz w:val="22"/>
        </w:rPr>
        <w:t>(a)</w:t>
        <w:tab/>
        <w:t>The Company is conducting negotiations where the outcome or normal pattern of those negotiations would be likely to be jeopardized by public disclosure; or</w:t>
      </w:r>
    </w:p>
    <w:p>
      <w:pPr>
        <w:tabs>
          <w:tab w:pos="1416" w:val="left"/>
        </w:tabs>
        <w:spacing w:after="80"/>
        <w:ind w:left="1416" w:hanging="708"/>
      </w:pPr>
      <w:r>
        <w:rPr>
          <w:rFonts w:ascii="Avenir Next LT Pro" w:hAnsi="Avenir Next LT Pro"/>
          <w:b w:val="0"/>
          <w:i w:val="0"/>
          <w:color w:val="1C4076"/>
          <w:sz w:val="22"/>
        </w:rPr>
        <w:t>(b)</w:t>
        <w:tab/>
        <w:t>the Company is planning to buy or sell a substantial activity, and the disclosure of such information would jeopardize the conclusion of the transaction.</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Disclosure cannot be delayed if a delay is likely to mislead the public. It shall always be determined on a case-by-case basis whether a delay will be likely to mislead the public. A delay is likely to mislead the public in the following situations:</w:t>
      </w:r>
    </w:p>
    <w:p>
      <w:pPr>
        <w:tabs>
          <w:tab w:pos="1416" w:val="left"/>
        </w:tabs>
        <w:spacing w:after="80"/>
        <w:ind w:left="1416" w:hanging="708"/>
      </w:pPr>
      <w:r>
        <w:rPr>
          <w:rFonts w:ascii="Avenir Next LT Pro" w:hAnsi="Avenir Next LT Pro"/>
          <w:b w:val="0"/>
          <w:i w:val="0"/>
          <w:color w:val="1C4076"/>
          <w:sz w:val="22"/>
        </w:rPr>
        <w:t>(a)</w:t>
        <w:tab/>
        <w:t>The information is materially different from a previous public announcement of the Company on the matter to which the information refers;</w:t>
      </w:r>
    </w:p>
    <w:p>
      <w:pPr>
        <w:tabs>
          <w:tab w:pos="1416" w:val="left"/>
        </w:tabs>
        <w:spacing w:after="80"/>
        <w:ind w:left="1416" w:hanging="708"/>
      </w:pPr>
      <w:r>
        <w:rPr>
          <w:rFonts w:ascii="Avenir Next LT Pro" w:hAnsi="Avenir Next LT Pro"/>
          <w:b w:val="0"/>
          <w:i w:val="0"/>
          <w:color w:val="1C4076"/>
          <w:sz w:val="22"/>
        </w:rPr>
        <w:t>(b)</w:t>
        <w:tab/>
        <w:t>the information concerns the fact that the Company’s financial objectives are likely not to be met, where such objectives were previously publicly announced (i.e. changes to financial outlook shall always be disclosed promptly); or</w:t>
      </w:r>
    </w:p>
    <w:p>
      <w:pPr>
        <w:tabs>
          <w:tab w:pos="1416" w:val="left"/>
        </w:tabs>
        <w:spacing w:after="80"/>
        <w:ind w:left="1416" w:hanging="708"/>
      </w:pPr>
      <w:r>
        <w:rPr>
          <w:rFonts w:ascii="Avenir Next LT Pro" w:hAnsi="Avenir Next LT Pro"/>
          <w:b w:val="0"/>
          <w:i w:val="0"/>
          <w:color w:val="1C4076"/>
          <w:sz w:val="22"/>
        </w:rPr>
        <w:t>(c)</w:t>
        <w:tab/>
        <w:t>the information is in contrast with the market’s expectations, where such expectations are based on signals that the Company has previously communicated (for example in press releases or an interview with the CEO).</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If the Company has delayed disclosure of Inside Information, the Company shall:</w:t>
      </w:r>
    </w:p>
    <w:p>
      <w:pPr>
        <w:tabs>
          <w:tab w:pos="1416" w:val="left"/>
        </w:tabs>
        <w:spacing w:after="200"/>
        <w:ind w:left="1416"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Upon disclosure to the market, notify the Danish Financial Supervisory Authority that the disclosure of the Inside Information was delayed; and</w:t>
      </w:r>
    </w:p>
    <w:p>
      <w:pPr>
        <w:tabs>
          <w:tab w:pos="1416" w:val="left"/>
        </w:tabs>
        <w:spacing w:after="200"/>
        <w:ind w:left="1416"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upon request of the Danish Financial Supervisory Authority, submit a written explanation on how the conditions for delay listed in section 4.1 were met.</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Disclosure Committee will handle the process of making the notification and preparing the written explanation. The written explanation will be prepared and updated from the time the decision to delay is made.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When disclosure of Inside Information is delayed, the Company, assisted by the Disclosure Committee, shall on an ongoing basis assess whether the information to which the delay relates continues to qualify as Inside Information and whether the conditions for delay of disclosure continues to be fulfilled. Draft announcements regarding leaks and, to the extent deemed relevant, a leak protocol shall be prepared by the Disclosure Committee when disclosure of Inside Information has been delayed. The procedure for handling leaks is set out in section 5 below.</w:t>
      </w:r>
    </w:p>
    <w:p>
      <w:pPr>
        <w:keepNext/>
        <w:tabs>
          <w:tab w:pos="708" w:val="left"/>
        </w:tabs>
        <w:spacing w:before="260" w:after="160"/>
        <w:ind w:left="708" w:hanging="708"/>
      </w:pPr>
      <w:r>
        <w:rPr>
          <w:rFonts w:ascii="Avenir Next LT Pro" w:hAnsi="Avenir Next LT Pro"/>
          <w:b/>
          <w:i w:val="0"/>
          <w:color w:val="1C4076"/>
          <w:sz w:val="28"/>
        </w:rPr>
        <w:t>5</w:t>
        <w:tab/>
        <w:t>Confidentiality can no longer be ensured</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Where disclosure of Inside Information has been delayed and the Company learns that the Inside Information is no longer kept confidential, e.g. due to an information leak, the Company shall as soon as possible publish the part of the Inside Information which is no longer kept confidential. Disclosure shall also be made where a rumor explicitly relates to Inside Information, the disclosure of which has been delayed, where the rumor is sufficiently accurate to indicate that the confidentiality of the Inside Information is no longer ensured.</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The Company is only required to publish the leaked information and not the entire Inside Information of which the leaked information forms a part, provided that such disclosure of the leaked information is not misleading when assessed together with the Inside Information of which it forms a part.</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Nasdaq Copenhagen’s surveillance function may be contacted and consulted in situations regarding potential leaks.</w:t>
      </w:r>
    </w:p>
    <w:p>
      <w:pPr>
        <w:keepNext/>
        <w:tabs>
          <w:tab w:pos="708" w:val="left"/>
        </w:tabs>
        <w:spacing w:before="260" w:after="160"/>
        <w:ind w:left="708" w:hanging="708"/>
      </w:pPr>
      <w:r>
        <w:rPr>
          <w:rFonts w:ascii="Avenir Next LT Pro" w:hAnsi="Avenir Next LT Pro"/>
          <w:b/>
          <w:i w:val="0"/>
          <w:color w:val="1C4076"/>
          <w:sz w:val="28"/>
        </w:rPr>
        <w:t>6</w:t>
        <w:tab/>
        <w:t>Authorisation to publish company announcements in urgent matters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If it is necessary in order for the Company to comply with its duty of disclosure as soon as possible, the members of the Executive Management may publish a company announcement without having coordinated it with the Disclosure Committee, the Chair of the Board of Directors and/or the Board of Directors, as applicable. In that case, members of the Executive Management, as the case may be, must immediately inform the Chair of the Board of Directors and the Disclosure Committee thereof.</w:t>
      </w:r>
    </w:p>
    <w:p>
      <w:pPr>
        <w:keepNext/>
        <w:tabs>
          <w:tab w:pos="708" w:val="left"/>
        </w:tabs>
        <w:spacing w:before="260" w:after="160"/>
        <w:ind w:left="708" w:hanging="708"/>
      </w:pPr>
      <w:r>
        <w:rPr>
          <w:rFonts w:ascii="Avenir Next LT Pro" w:hAnsi="Avenir Next LT Pro"/>
          <w:b/>
          <w:i w:val="0"/>
          <w:color w:val="1C4076"/>
          <w:sz w:val="28"/>
        </w:rPr>
        <w:t>7</w:t>
        <w:tab/>
        <w:t>Disclosure, form and content of announcements</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Disclosure to the public of Inside Information shall take place by issuing a company announcement through the Company’s chosen news distribution service.</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As a general rule, the company announcement will be submitted to Nasdaq Copenhagen and the Danish Financial Supervisory Authority (where required) via the Company’s chosen news distribution service. In certain instances, it may be necessary to submit company announcements separately to both the Danish Financial Supervisory Authority and the Company’s chosen news distribution service. This may be the case if a particular company announcement is required to be published pursuant to one of the specific disclosure obligations as set out in Schedule 8.1 but is also deemed to contain Inside Information.</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Simultaneously with the publication via the Company’s chosen news distribution service, all company announcements must be made available on the Company’s website. All company announcements must remain on the Company’s website for a minimum of five years. However, financial reports shall be made available for a minimum of ten years from the date of disclosure.</w:t>
      </w:r>
    </w:p>
    <w:p>
      <w:pPr>
        <w:tabs>
          <w:tab w:pos="708" w:val="left"/>
        </w:tabs>
        <w:spacing w:after="200"/>
        <w:ind w:left="708" w:hanging="708"/>
        <w:jc w:val="both"/>
      </w:pPr>
      <w:r>
        <w:rPr>
          <w:rFonts w:ascii="Avenir Next LT Pro" w:hAnsi="Avenir Next LT Pro"/>
          <w:b w:val="0"/>
          <w:i w:val="0"/>
          <w:color w:val="1C4076"/>
          <w:sz w:val="22"/>
        </w:rPr>
        <w:t>7.4</w:t>
        <w:tab/>
      </w:r>
      <w:r>
        <w:rPr>
          <w:rFonts w:ascii="Avenir Next LT Pro" w:hAnsi="Avenir Next LT Pro"/>
          <w:b w:val="0"/>
          <w:i w:val="0"/>
          <w:color w:val="1C4076"/>
          <w:sz w:val="22"/>
        </w:rPr>
        <w:t>Disclosure must not be combined with the Company or the Group’s marketing activities.</w:t>
      </w:r>
    </w:p>
    <w:p>
      <w:pPr>
        <w:tabs>
          <w:tab w:pos="708" w:val="left"/>
        </w:tabs>
        <w:spacing w:after="200"/>
        <w:ind w:left="708" w:hanging="708"/>
        <w:jc w:val="both"/>
      </w:pPr>
      <w:r>
        <w:rPr>
          <w:rFonts w:ascii="Avenir Next LT Pro" w:hAnsi="Avenir Next LT Pro"/>
          <w:b w:val="0"/>
          <w:i w:val="0"/>
          <w:color w:val="1C4076"/>
          <w:sz w:val="22"/>
        </w:rPr>
        <w:t>7.5</w:t>
        <w:tab/>
      </w:r>
      <w:r>
        <w:rPr>
          <w:rFonts w:ascii="Avenir Next LT Pro" w:hAnsi="Avenir Next LT Pro"/>
          <w:b w:val="0"/>
          <w:i w:val="0"/>
          <w:color w:val="1C4076"/>
          <w:sz w:val="22"/>
        </w:rPr>
        <w:t>All company announcements shall be prepared on the following basis:</w:t>
      </w:r>
    </w:p>
    <w:p>
      <w:pPr>
        <w:tabs>
          <w:tab w:pos="1416" w:val="left"/>
        </w:tabs>
        <w:spacing w:after="80"/>
        <w:ind w:left="1416" w:hanging="708"/>
      </w:pPr>
      <w:r>
        <w:rPr>
          <w:rFonts w:ascii="Avenir Next LT Pro" w:hAnsi="Avenir Next LT Pro"/>
          <w:b w:val="0"/>
          <w:i w:val="0"/>
          <w:color w:val="1C4076"/>
          <w:sz w:val="22"/>
        </w:rPr>
        <w:t>(a)</w:t>
        <w:tab/>
        <w:t>Each announcement shall have a heading indicating the substance of the announcement;</w:t>
      </w:r>
    </w:p>
    <w:p>
      <w:pPr>
        <w:tabs>
          <w:tab w:pos="1416" w:val="left"/>
        </w:tabs>
        <w:spacing w:after="80"/>
        <w:ind w:left="1416" w:hanging="708"/>
      </w:pPr>
      <w:r>
        <w:rPr>
          <w:rFonts w:ascii="Avenir Next LT Pro" w:hAnsi="Avenir Next LT Pro"/>
          <w:b w:val="0"/>
          <w:i w:val="0"/>
          <w:color w:val="1C4076"/>
          <w:sz w:val="22"/>
        </w:rPr>
        <w:t>(b)</w:t>
        <w:tab/>
        <w:t>the most important information in the announcement shall be clearly presented at the beginning of the announcements;</w:t>
      </w:r>
    </w:p>
    <w:p>
      <w:pPr>
        <w:tabs>
          <w:tab w:pos="1416" w:val="left"/>
        </w:tabs>
        <w:spacing w:after="80"/>
        <w:ind w:left="1416" w:hanging="708"/>
      </w:pPr>
      <w:r>
        <w:rPr>
          <w:rFonts w:ascii="Avenir Next LT Pro" w:hAnsi="Avenir Next LT Pro"/>
          <w:b w:val="0"/>
          <w:i w:val="0"/>
          <w:color w:val="1C4076"/>
          <w:sz w:val="22"/>
        </w:rPr>
        <w:t>(c)</w:t>
        <w:tab/>
        <w:t>the announcement shall contain information on the time and date of disclosure, the Company’s name and website, a contact person from the Company and such contact person’s phone number and shall be numbered consecutively;</w:t>
      </w:r>
    </w:p>
    <w:p>
      <w:pPr>
        <w:tabs>
          <w:tab w:pos="1416" w:val="left"/>
        </w:tabs>
        <w:spacing w:after="80"/>
        <w:ind w:left="1416" w:hanging="708"/>
      </w:pPr>
      <w:r>
        <w:rPr>
          <w:rFonts w:ascii="Avenir Next LT Pro" w:hAnsi="Avenir Next LT Pro"/>
          <w:b w:val="0"/>
          <w:i w:val="0"/>
          <w:color w:val="1C4076"/>
          <w:sz w:val="22"/>
        </w:rPr>
        <w:t>(d)</w:t>
        <w:tab/>
        <w:t>the announcement shall be correct, relevant and clear; and</w:t>
      </w:r>
    </w:p>
    <w:p>
      <w:pPr>
        <w:tabs>
          <w:tab w:pos="1416" w:val="left"/>
        </w:tabs>
        <w:spacing w:after="80"/>
        <w:ind w:left="1416" w:hanging="708"/>
      </w:pPr>
      <w:r>
        <w:rPr>
          <w:rFonts w:ascii="Avenir Next LT Pro" w:hAnsi="Avenir Next LT Pro"/>
          <w:b w:val="0"/>
          <w:i w:val="0"/>
          <w:color w:val="1C4076"/>
          <w:sz w:val="22"/>
        </w:rPr>
        <w:t>(e)</w:t>
        <w:tab/>
        <w:t>the announcement shall provide sufficient guidance to enable an evaluation of the information and its effect on the price of the Company’s Financial Instruments.</w:t>
      </w:r>
    </w:p>
    <w:p>
      <w:pPr>
        <w:keepNext/>
        <w:tabs>
          <w:tab w:pos="708" w:val="left"/>
        </w:tabs>
        <w:spacing w:before="260" w:after="160"/>
        <w:ind w:left="708" w:hanging="708"/>
      </w:pPr>
      <w:r>
        <w:rPr>
          <w:rFonts w:ascii="Avenir Next LT Pro" w:hAnsi="Avenir Next LT Pro"/>
          <w:b/>
          <w:i w:val="0"/>
          <w:color w:val="1C4076"/>
          <w:sz w:val="28"/>
        </w:rPr>
        <w:t>8</w:t>
        <w:tab/>
        <w:t>Specific disclosure obligations</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The Company is subject to certain specific disclosure obligations pursuant to the Rules for Issuers, which require the Company to publish information, regardless of whether such information is deemed Inside Information or not. These disclosure obligations are further set out in Schedule 8.1 – Specific disclosure obligations.</w:t>
      </w:r>
    </w:p>
    <w:p>
      <w:pPr>
        <w:keepNext/>
        <w:tabs>
          <w:tab w:pos="708" w:val="left"/>
        </w:tabs>
        <w:spacing w:before="260" w:after="160"/>
        <w:ind w:left="708" w:hanging="708"/>
      </w:pPr>
      <w:r>
        <w:rPr>
          <w:rFonts w:ascii="Avenir Next LT Pro" w:hAnsi="Avenir Next LT Pro"/>
          <w:b/>
          <w:i w:val="0"/>
          <w:color w:val="1C4076"/>
          <w:sz w:val="28"/>
        </w:rPr>
        <w:t>9</w:t>
        <w:tab/>
        <w:t>Subsequent control and handling of errors</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person at the Company responsible for disclosing the Inside Information through the Company’s chosen news distribution service must, immediately following release, control that the Inside Information has been disclosed in accordance with sections 7 and 8 above, including that the relevant material is available through Nasdaq Copenhagen and the Danish Financial Supervisory Authority, if relevant, and on the Company’s website.</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Where Inside Information has not been disclosed correctly in accordance with sections 7 and 8 above due to a technical error, the Company shall immediately reach out to the Company’s chosen news distribution service to find a solution to the problem in question.</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Nasdaq Copenhagen’s surveillance function may be contacted and consulted in situations regarding technical errors if the Company and the Company’s chosen news distribution service are not able to find a timely acceptable solution to the problem in question.</w:t>
      </w:r>
    </w:p>
    <w:p>
      <w:pPr>
        <w:keepNext/>
        <w:tabs>
          <w:tab w:pos="708" w:val="left"/>
        </w:tabs>
        <w:spacing w:before="260" w:after="160"/>
        <w:ind w:left="708" w:hanging="708"/>
      </w:pPr>
      <w:r>
        <w:rPr>
          <w:rFonts w:ascii="Avenir Next LT Pro" w:hAnsi="Avenir Next LT Pro"/>
          <w:b/>
          <w:i w:val="0"/>
          <w:color w:val="1C4076"/>
          <w:sz w:val="28"/>
        </w:rPr>
        <w:t>10</w:t>
        <w:tab/>
        <w:t>The Company’s spokespersons</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Only the Chair of the Board of Directors and the CEO are entitled to make statements regarding the Company and the Group in respect of matters which constitute Inside Information. The CEO may delegate such authority to other members of the Executive Management.</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In addition, the following persons are in accordance with the Company’s Investor Relations Policy authorised to communicate with the investor community on behalf of the Company:</w:t>
      </w:r>
    </w:p>
    <w:p>
      <w:pPr>
        <w:tabs>
          <w:tab w:pos="1416" w:val="left"/>
        </w:tabs>
        <w:spacing w:after="160"/>
        <w:ind w:left="1416" w:hanging="708"/>
      </w:pPr>
      <w:r>
        <w:rPr>
          <w:rFonts w:ascii="Avenir Next LT Pro" w:hAnsi="Avenir Next LT Pro"/>
          <w:b w:val="0"/>
          <w:i w:val="0"/>
          <w:color w:val="1C4076"/>
          <w:sz w:val="22"/>
        </w:rPr>
        <w:t>•</w:t>
        <w:tab/>
        <w:t>The Chair of the Board of Directors</w:t>
      </w:r>
    </w:p>
    <w:p>
      <w:pPr>
        <w:tabs>
          <w:tab w:pos="1416" w:val="left"/>
        </w:tabs>
        <w:spacing w:after="160"/>
        <w:ind w:left="1416" w:hanging="708"/>
      </w:pPr>
      <w:r>
        <w:rPr>
          <w:rFonts w:ascii="Avenir Next LT Pro" w:hAnsi="Avenir Next LT Pro"/>
          <w:b w:val="0"/>
          <w:i w:val="0"/>
          <w:color w:val="1C4076"/>
          <w:sz w:val="22"/>
        </w:rPr>
        <w:t>•</w:t>
        <w:tab/>
        <w:t>The Executive Management</w:t>
      </w:r>
    </w:p>
    <w:p>
      <w:pPr>
        <w:tabs>
          <w:tab w:pos="1416" w:val="left"/>
        </w:tabs>
        <w:spacing w:after="160"/>
        <w:ind w:left="1416" w:hanging="708"/>
      </w:pPr>
      <w:r>
        <w:rPr>
          <w:rFonts w:ascii="Avenir Next LT Pro" w:hAnsi="Avenir Next LT Pro"/>
          <w:b w:val="0"/>
          <w:i w:val="0"/>
          <w:color w:val="1C4076"/>
          <w:sz w:val="22"/>
        </w:rPr>
        <w:t>•</w:t>
        <w:tab/>
        <w:t>The VP, People, Purpose &amp; Communication</w:t>
      </w:r>
    </w:p>
    <w:p>
      <w:pPr>
        <w:tabs>
          <w:tab w:pos="1416" w:val="left"/>
        </w:tabs>
        <w:spacing w:after="160"/>
        <w:ind w:left="1416" w:hanging="708"/>
      </w:pPr>
      <w:r>
        <w:rPr>
          <w:rFonts w:ascii="Avenir Next LT Pro" w:hAnsi="Avenir Next LT Pro"/>
          <w:b w:val="0"/>
          <w:i w:val="0"/>
          <w:color w:val="1C4076"/>
          <w:sz w:val="22"/>
        </w:rPr>
        <w:t>•</w:t>
        <w:tab/>
        <w:t>The VP Strategy, Business Development &amp; M&amp;A</w:t>
      </w:r>
    </w:p>
    <w:p>
      <w:pPr>
        <w:tabs>
          <w:tab w:pos="1416" w:val="left"/>
        </w:tabs>
        <w:spacing w:after="280"/>
        <w:ind w:left="1416" w:hanging="708"/>
      </w:pPr>
      <w:r>
        <w:rPr>
          <w:rFonts w:ascii="Avenir Next LT Pro" w:hAnsi="Avenir Next LT Pro"/>
          <w:b w:val="0"/>
          <w:i w:val="0"/>
          <w:color w:val="1C4076"/>
          <w:sz w:val="22"/>
        </w:rPr>
        <w:t>•</w:t>
        <w:tab/>
        <w:t>Such other persons as are instructed and authorised to communicate with the investment community by one of the abovementioned persons on specific matters.</w:t>
      </w:r>
    </w:p>
    <w:p>
      <w:pPr>
        <w:spacing w:after="200"/>
        <w:jc w:val="center"/>
      </w:pPr>
      <w:r>
        <w:rPr>
          <w:rFonts w:ascii="Avenir Next LT Pro" w:hAnsi="Avenir Next LT Pro"/>
          <w:b w:val="0"/>
          <w:i w:val="0"/>
          <w:color w:val="1C4076"/>
          <w:sz w:val="22"/>
        </w:rPr>
        <w:t>Approved by the Board of Directors on 19 May 2026.</w:t>
      </w:r>
    </w:p>
    <w:p>
      <w:pPr>
        <w:keepNext/>
        <w:spacing w:before="260" w:after="160"/>
      </w:pPr>
      <w:r>
        <w:rPr>
          <w:rFonts w:ascii="Avenir Next LT Pro" w:hAnsi="Avenir Next LT Pro"/>
          <w:b/>
          <w:i w:val="0"/>
          <w:color w:val="1C4076"/>
          <w:sz w:val="28"/>
        </w:rPr>
        <w:t>Schedule 8.1 – Specific disclosure obligations</w:t>
      </w:r>
    </w:p>
    <w:p>
      <w:pPr>
        <w:spacing w:after="200"/>
        <w:jc w:val="both"/>
      </w:pPr>
      <w:r>
        <w:rPr>
          <w:rFonts w:ascii="Avenir Next LT Pro" w:hAnsi="Avenir Next LT Pro"/>
          <w:b w:val="0"/>
          <w:i w:val="0"/>
          <w:color w:val="1C4076"/>
          <w:sz w:val="22"/>
        </w:rPr>
        <w:t>The Company shall disclose the following information irrespective of whether such information is deemed Inside Information or not. The following list of specific disclosure obligations is non-exhaustive and reference is also made to the Rules for Issuers containing detailed rules on the specific disclosure obligations, which should be checked on an ongoing basis.</w:t>
      </w:r>
    </w:p>
    <w:p>
      <w:pPr>
        <w:keepNext/>
        <w:tabs>
          <w:tab w:pos="708" w:val="left"/>
        </w:tabs>
        <w:spacing w:before="260" w:after="160"/>
        <w:ind w:left="708" w:hanging="708"/>
      </w:pPr>
      <w:r>
        <w:rPr>
          <w:rFonts w:ascii="Avenir Next LT Pro" w:hAnsi="Avenir Next LT Pro"/>
          <w:b/>
          <w:i w:val="0"/>
          <w:color w:val="1C4076"/>
          <w:sz w:val="28"/>
        </w:rPr>
        <w:t>1</w:t>
        <w:tab/>
        <w:t>Annual reports</w:t>
      </w:r>
    </w:p>
    <w:p>
      <w:pPr>
        <w:spacing w:after="200"/>
        <w:jc w:val="both"/>
      </w:pPr>
      <w:r>
        <w:rPr>
          <w:rFonts w:ascii="Avenir Next LT Pro" w:hAnsi="Avenir Next LT Pro"/>
          <w:b w:val="0"/>
          <w:i w:val="0"/>
          <w:color w:val="1C4076"/>
          <w:sz w:val="22"/>
        </w:rPr>
        <w:t>The Company shall publish the audited annual report as soon as possible after it has been finalised and no later than four months after the end of the preceding financial year and no later than three weeks before the annual general meeting.</w:t>
      </w:r>
    </w:p>
    <w:p>
      <w:pPr>
        <w:spacing w:after="200"/>
        <w:jc w:val="both"/>
      </w:pPr>
      <w:r>
        <w:rPr>
          <w:rFonts w:ascii="Avenir Next LT Pro" w:hAnsi="Avenir Next LT Pro"/>
          <w:b w:val="0"/>
          <w:i w:val="0"/>
          <w:color w:val="1C4076"/>
          <w:sz w:val="22"/>
        </w:rPr>
        <w:t>In the event that the audit report includes a statement which is not in standard format or if the audit report has been modified, the Company must publish the audit report as soon as possible. An audit report is considered to be modified or not in standard format when the auditor adds an emphasis of matter paragraph or is not able to express an unqualified opinion with no modification.</w:t>
      </w:r>
    </w:p>
    <w:p>
      <w:pPr>
        <w:spacing w:after="200"/>
        <w:jc w:val="both"/>
      </w:pPr>
      <w:r>
        <w:rPr>
          <w:rFonts w:ascii="Avenir Next LT Pro" w:hAnsi="Avenir Next LT Pro"/>
          <w:b w:val="0"/>
          <w:i w:val="0"/>
          <w:color w:val="1C4076"/>
          <w:sz w:val="22"/>
        </w:rPr>
        <w:t>Following approval of the annual report by the shareholders at the annual general meeting, the annual report shall be submitted to the Danish Business Authority.</w:t>
      </w:r>
    </w:p>
    <w:p>
      <w:pPr>
        <w:spacing w:after="200"/>
        <w:jc w:val="both"/>
      </w:pPr>
      <w:r>
        <w:rPr>
          <w:rFonts w:ascii="Avenir Next LT Pro" w:hAnsi="Avenir Next LT Pro"/>
          <w:b w:val="0"/>
          <w:i w:val="0"/>
          <w:color w:val="1C4076"/>
          <w:sz w:val="22"/>
        </w:rPr>
        <w:t>If any part of the annual report will be deemed to constitute Inside Information, disclosure of such Inside Information must comply with the Company’s general disclosure obligation as described in section 3 “Disclosure of Inside Information (general disclosure obligation)” above. If the annual report contains Inside Information (i.e. if such information has not been disclosed separately prior to disclosure of the annual report), the annual report must be disclosed in two steps, firstly by publishing a company announcement that describes the Inside Information contained in the annual report separately and apply the category for inside information on such company announcement and subsequently by publishing a company announcement containing the annual report and apply the category for annual reports on such company announcement.</w:t>
      </w:r>
    </w:p>
    <w:p>
      <w:pPr>
        <w:keepNext/>
        <w:tabs>
          <w:tab w:pos="708" w:val="left"/>
        </w:tabs>
        <w:spacing w:before="260" w:after="160"/>
        <w:ind w:left="708" w:hanging="708"/>
      </w:pPr>
      <w:r>
        <w:rPr>
          <w:rFonts w:ascii="Avenir Next LT Pro" w:hAnsi="Avenir Next LT Pro"/>
          <w:b/>
          <w:i w:val="0"/>
          <w:color w:val="1C4076"/>
          <w:sz w:val="28"/>
        </w:rPr>
        <w:t>2</w:t>
        <w:tab/>
        <w:t>Interim reports</w:t>
      </w:r>
    </w:p>
    <w:p>
      <w:pPr>
        <w:spacing w:after="200"/>
        <w:jc w:val="both"/>
      </w:pPr>
      <w:r>
        <w:rPr>
          <w:rFonts w:ascii="Avenir Next LT Pro" w:hAnsi="Avenir Next LT Pro"/>
          <w:b w:val="0"/>
          <w:i w:val="0"/>
          <w:color w:val="1C4076"/>
          <w:sz w:val="22"/>
        </w:rPr>
        <w:t>The Company shall publish an interim report for the first six months of each financial year.</w:t>
      </w:r>
    </w:p>
    <w:p>
      <w:pPr>
        <w:spacing w:after="200"/>
        <w:jc w:val="both"/>
      </w:pPr>
      <w:r>
        <w:rPr>
          <w:rFonts w:ascii="Avenir Next LT Pro" w:hAnsi="Avenir Next LT Pro"/>
          <w:b w:val="0"/>
          <w:i w:val="0"/>
          <w:color w:val="1C4076"/>
          <w:sz w:val="22"/>
        </w:rPr>
        <w:t>The Company shall state whether the interim report has been audited, has been subjected to review, or whether the report is unaudited.</w:t>
      </w:r>
    </w:p>
    <w:p>
      <w:pPr>
        <w:spacing w:after="200"/>
        <w:jc w:val="both"/>
      </w:pPr>
      <w:r>
        <w:rPr>
          <w:rFonts w:ascii="Avenir Next LT Pro" w:hAnsi="Avenir Next LT Pro"/>
          <w:b w:val="0"/>
          <w:i w:val="0"/>
          <w:color w:val="1C4076"/>
          <w:sz w:val="22"/>
        </w:rPr>
        <w:t>The interim report shall be published immediately after the meeting of the Board of Directors at which the relevant interim report is approved, which shall take place no later than three months after the end of the interim period.</w:t>
      </w:r>
    </w:p>
    <w:p>
      <w:pPr>
        <w:spacing w:after="200"/>
        <w:jc w:val="both"/>
      </w:pPr>
      <w:r>
        <w:rPr>
          <w:rFonts w:ascii="Avenir Next LT Pro" w:hAnsi="Avenir Next LT Pro"/>
          <w:b w:val="0"/>
          <w:i w:val="0"/>
          <w:color w:val="1C4076"/>
          <w:sz w:val="22"/>
        </w:rPr>
        <w:t>Following approval and disclosure, the interim report shall be submitted to the Danish Business Authority.</w:t>
      </w:r>
    </w:p>
    <w:p>
      <w:pPr>
        <w:spacing w:after="200"/>
        <w:jc w:val="both"/>
      </w:pPr>
      <w:r>
        <w:rPr>
          <w:rFonts w:ascii="Avenir Next LT Pro" w:hAnsi="Avenir Next LT Pro"/>
          <w:b w:val="0"/>
          <w:i w:val="0"/>
          <w:color w:val="1C4076"/>
          <w:sz w:val="22"/>
        </w:rPr>
        <w:t>If any part of the interim report will be deemed to constitute Inside Information, disclosure of such Inside Information must comply with the Company’s general disclosure obligation as described in Section 3 “Disclosure of Inside Information (general disclosure obligation)” above. If the interim report contains Inside Information (i.e. if such information has not been disclosed separately prior to disclosure of the interim report), the interim report must be disclosed in two steps, firstly by publishing a company announcement that describes the Inside Information contained in the interim report separately and apply the category for inside information on such company announcement and subsequently by publishing a company announcement containing the interim report and applying the category for interim reports on such company announcement.</w:t>
      </w:r>
    </w:p>
    <w:p>
      <w:pPr>
        <w:spacing w:after="200"/>
        <w:jc w:val="both"/>
      </w:pPr>
      <w:r>
        <w:rPr>
          <w:rFonts w:ascii="Avenir Next LT Pro" w:hAnsi="Avenir Next LT Pro"/>
          <w:b w:val="0"/>
          <w:i w:val="0"/>
          <w:color w:val="1C4076"/>
          <w:sz w:val="22"/>
        </w:rPr>
        <w:t>In addition to the interim report for the first six months, the Company has decided to publish interim reports for Q1 and Q3 and the above procedures will apply equally to such additional interim reports.</w:t>
      </w:r>
    </w:p>
    <w:p>
      <w:pPr>
        <w:keepNext/>
        <w:tabs>
          <w:tab w:pos="708" w:val="left"/>
        </w:tabs>
        <w:spacing w:before="260" w:after="160"/>
        <w:ind w:left="708" w:hanging="708"/>
      </w:pPr>
      <w:r>
        <w:rPr>
          <w:rFonts w:ascii="Avenir Next LT Pro" w:hAnsi="Avenir Next LT Pro"/>
          <w:b/>
          <w:i w:val="0"/>
          <w:color w:val="1C4076"/>
          <w:sz w:val="28"/>
        </w:rPr>
        <w:t>3</w:t>
        <w:tab/>
        <w:t>Forecasts and forward-looking statements</w:t>
      </w:r>
    </w:p>
    <w:p>
      <w:pPr>
        <w:spacing w:after="200"/>
        <w:jc w:val="both"/>
      </w:pPr>
      <w:r>
        <w:rPr>
          <w:rFonts w:ascii="Avenir Next LT Pro" w:hAnsi="Avenir Next LT Pro"/>
          <w:b w:val="0"/>
          <w:i w:val="0"/>
          <w:color w:val="1C4076"/>
          <w:sz w:val="22"/>
        </w:rPr>
        <w:t>Forecasts must be presented in a clear and consistent manner.</w:t>
      </w:r>
    </w:p>
    <w:p>
      <w:pPr>
        <w:spacing w:after="200"/>
        <w:jc w:val="both"/>
      </w:pPr>
      <w:r>
        <w:rPr>
          <w:rFonts w:ascii="Avenir Next LT Pro" w:hAnsi="Avenir Next LT Pro"/>
          <w:b w:val="0"/>
          <w:i w:val="0"/>
          <w:color w:val="1C4076"/>
          <w:sz w:val="22"/>
        </w:rPr>
        <w:t>Forecasts and other information relating to the future in interim reports and annual reports should be provided under a separate heading and in a prominent position. In conjunction with forecast adjustments, the information in the announcement shall reiterate the preceding forecast in order to evaluate the significance of the change.</w:t>
      </w:r>
    </w:p>
    <w:p>
      <w:pPr>
        <w:keepNext/>
        <w:tabs>
          <w:tab w:pos="708" w:val="left"/>
        </w:tabs>
        <w:spacing w:before="260" w:after="160"/>
        <w:ind w:left="708" w:hanging="708"/>
      </w:pPr>
      <w:r>
        <w:rPr>
          <w:rFonts w:ascii="Avenir Next LT Pro" w:hAnsi="Avenir Next LT Pro"/>
          <w:b/>
          <w:i w:val="0"/>
          <w:color w:val="1C4076"/>
          <w:sz w:val="28"/>
        </w:rPr>
        <w:t>4</w:t>
        <w:tab/>
        <w:t>General meetings</w:t>
      </w:r>
    </w:p>
    <w:p>
      <w:pPr>
        <w:spacing w:after="200"/>
        <w:jc w:val="both"/>
      </w:pPr>
      <w:r>
        <w:rPr>
          <w:rFonts w:ascii="Avenir Next LT Pro" w:hAnsi="Avenir Next LT Pro"/>
          <w:b w:val="0"/>
          <w:i w:val="0"/>
          <w:color w:val="1C4076"/>
          <w:sz w:val="22"/>
        </w:rPr>
        <w:t>The notice convening general meetings must be published no later than three weeks and no earlier than five weeks before the general meeting.</w:t>
      </w:r>
    </w:p>
    <w:p>
      <w:pPr>
        <w:spacing w:after="200"/>
        <w:jc w:val="both"/>
      </w:pPr>
      <w:r>
        <w:rPr>
          <w:rFonts w:ascii="Avenir Next LT Pro" w:hAnsi="Avenir Next LT Pro"/>
          <w:b w:val="0"/>
          <w:i w:val="0"/>
          <w:color w:val="1C4076"/>
          <w:sz w:val="22"/>
        </w:rPr>
        <w:t>A proposal from the Board of Directors to a general meeting, which is deemed Inside Information, should be disclosed as soon as possible. This means that such proposal must be disclosed as soon as possible regardless of whether the content of the proposal will later be part of a notice to convene.</w:t>
      </w:r>
    </w:p>
    <w:p>
      <w:pPr>
        <w:spacing w:after="200"/>
        <w:jc w:val="both"/>
      </w:pPr>
      <w:r>
        <w:rPr>
          <w:rFonts w:ascii="Avenir Next LT Pro" w:hAnsi="Avenir Next LT Pro"/>
          <w:b w:val="0"/>
          <w:i w:val="0"/>
          <w:color w:val="1C4076"/>
          <w:sz w:val="22"/>
        </w:rPr>
        <w:t>Immediately after a general meeting, an announcement on the business transacted and the resolutions passed must be published.</w:t>
      </w:r>
    </w:p>
    <w:p>
      <w:pPr>
        <w:spacing w:after="200"/>
        <w:jc w:val="both"/>
      </w:pPr>
      <w:r>
        <w:rPr>
          <w:rFonts w:ascii="Avenir Next LT Pro" w:hAnsi="Avenir Next LT Pro"/>
          <w:b w:val="0"/>
          <w:i w:val="0"/>
          <w:color w:val="1C4076"/>
          <w:sz w:val="22"/>
        </w:rPr>
        <w:t>If the Company has delayed disclosure of Inside Information which will be presented at the general meeting, the Company shall contact Nasdaq Copenhagen and/or the Danish Financial Supervisory Authority prior to the general meeting to discuss how disclosure should take place. Such information shall typically be disclosed no later than simultaneously with the commencement of the general meeting. Disclosure of such Inside Information must comply with the Company’s general disclosure obligation as described in section 3 “Disclosure of Inside Information (general disclosure obligation)” above.</w:t>
      </w:r>
    </w:p>
    <w:p>
      <w:pPr>
        <w:spacing w:after="200"/>
        <w:jc w:val="both"/>
      </w:pPr>
      <w:r>
        <w:rPr>
          <w:rFonts w:ascii="Avenir Next LT Pro" w:hAnsi="Avenir Next LT Pro"/>
          <w:b w:val="0"/>
          <w:i w:val="0"/>
          <w:color w:val="1C4076"/>
          <w:sz w:val="22"/>
        </w:rPr>
        <w:t>If Inside Information arises during the general meeting, the general meeting shall be halted, and the Inside Information shall be disclosed no later than the Inside Information is available at the general meeting.</w:t>
      </w:r>
    </w:p>
    <w:p>
      <w:pPr>
        <w:spacing w:after="200"/>
        <w:jc w:val="both"/>
      </w:pPr>
      <w:r>
        <w:rPr>
          <w:rFonts w:ascii="Avenir Next LT Pro" w:hAnsi="Avenir Next LT Pro"/>
          <w:b w:val="0"/>
          <w:i w:val="0"/>
          <w:color w:val="1C4076"/>
          <w:sz w:val="22"/>
        </w:rPr>
        <w:t>If the general meeting authorises the Board of Directors to decide on a specific issue at a later time, such later decision made by the Board of Directors must be published.</w:t>
      </w:r>
    </w:p>
    <w:p>
      <w:pPr>
        <w:keepNext/>
        <w:tabs>
          <w:tab w:pos="708" w:val="left"/>
        </w:tabs>
        <w:spacing w:before="260" w:after="160"/>
        <w:ind w:left="708" w:hanging="708"/>
      </w:pPr>
      <w:r>
        <w:rPr>
          <w:rFonts w:ascii="Avenir Next LT Pro" w:hAnsi="Avenir Next LT Pro"/>
          <w:b/>
          <w:i w:val="0"/>
          <w:color w:val="1C4076"/>
          <w:sz w:val="28"/>
        </w:rPr>
        <w:t>5</w:t>
        <w:tab/>
        <w:t>Financial calendar</w:t>
      </w:r>
    </w:p>
    <w:p>
      <w:pPr>
        <w:spacing w:after="200"/>
        <w:jc w:val="both"/>
      </w:pPr>
      <w:r>
        <w:rPr>
          <w:rFonts w:ascii="Avenir Next LT Pro" w:hAnsi="Avenir Next LT Pro"/>
          <w:b w:val="0"/>
          <w:i w:val="0"/>
          <w:color w:val="1C4076"/>
          <w:sz w:val="22"/>
        </w:rPr>
        <w:t>The Company shall prior to the beginning of each financial year publish on its website a financial calendar for the coming year listing the dates on which the Company expects to disclose interim reports and the annual report as well as the expected date of the annual general meeting, and, if applicable, the date for payment of dividends. If possible, the Company should specify the time of the day at which disclosure will be made. If changes are made to a pre-announced date, the Company shall publish an updated financial calendar as soon as possible. If such a change is made within two weeks of a preannounced date or of the new date, the Company shall disclose the new date in an announcement, including the reasons for the changed date, if possible.</w:t>
      </w:r>
    </w:p>
    <w:p>
      <w:pPr>
        <w:spacing w:after="200"/>
        <w:jc w:val="both"/>
      </w:pPr>
      <w:r>
        <w:rPr>
          <w:rFonts w:ascii="Avenir Next LT Pro" w:hAnsi="Avenir Next LT Pro"/>
          <w:b w:val="0"/>
          <w:i w:val="0"/>
          <w:color w:val="1C4076"/>
          <w:sz w:val="22"/>
        </w:rPr>
        <w:t>An announcement of financial statements may be published prior to the date already announced by the Company. For example, if it turns out that the preparation of the announcement of financial statements progresses more quickly than expected.</w:t>
      </w:r>
    </w:p>
    <w:p>
      <w:pPr>
        <w:keepNext/>
        <w:tabs>
          <w:tab w:pos="708" w:val="left"/>
        </w:tabs>
        <w:spacing w:before="260" w:after="160"/>
        <w:ind w:left="708" w:hanging="708"/>
      </w:pPr>
      <w:r>
        <w:rPr>
          <w:rFonts w:ascii="Avenir Next LT Pro" w:hAnsi="Avenir Next LT Pro"/>
          <w:b/>
          <w:i w:val="0"/>
          <w:color w:val="1C4076"/>
          <w:sz w:val="28"/>
        </w:rPr>
        <w:t>6</w:t>
        <w:tab/>
        <w:t>Changes to Board of Directors, Executive Management, other management and auditors</w:t>
      </w:r>
    </w:p>
    <w:p>
      <w:pPr>
        <w:spacing w:after="200"/>
        <w:jc w:val="both"/>
      </w:pPr>
      <w:r>
        <w:rPr>
          <w:rFonts w:ascii="Avenir Next LT Pro" w:hAnsi="Avenir Next LT Pro"/>
          <w:b w:val="0"/>
          <w:i w:val="0"/>
          <w:color w:val="1C4076"/>
          <w:sz w:val="22"/>
        </w:rPr>
        <w:t>Changes to the Company’s Board of Directors and Executive Management must be published.</w:t>
      </w:r>
    </w:p>
    <w:p>
      <w:pPr>
        <w:spacing w:after="200"/>
        <w:jc w:val="both"/>
      </w:pPr>
      <w:r>
        <w:rPr>
          <w:rFonts w:ascii="Avenir Next LT Pro" w:hAnsi="Avenir Next LT Pro"/>
          <w:b w:val="0"/>
          <w:i w:val="0"/>
          <w:color w:val="1C4076"/>
          <w:sz w:val="22"/>
        </w:rPr>
        <w:t>The Company shall assess whether changes to other management positions may be important and consequently should be disclosed, including key management in significant subsidiaries.</w:t>
      </w:r>
    </w:p>
    <w:p>
      <w:pPr>
        <w:spacing w:after="200"/>
        <w:jc w:val="both"/>
      </w:pPr>
      <w:r>
        <w:rPr>
          <w:rFonts w:ascii="Avenir Next LT Pro" w:hAnsi="Avenir Next LT Pro"/>
          <w:b w:val="0"/>
          <w:i w:val="0"/>
          <w:color w:val="1C4076"/>
          <w:sz w:val="22"/>
        </w:rPr>
        <w:t>Announcements concerning a new member of the Board of Directors, a new member of the Executive Management or another management member must contain relevant information on such member’s experience, including his/her educational background, management positions and/or former occupation.</w:t>
      </w:r>
    </w:p>
    <w:p>
      <w:pPr>
        <w:spacing w:after="200"/>
        <w:jc w:val="both"/>
      </w:pPr>
      <w:r>
        <w:rPr>
          <w:rFonts w:ascii="Avenir Next LT Pro" w:hAnsi="Avenir Next LT Pro"/>
          <w:b w:val="0"/>
          <w:i w:val="0"/>
          <w:color w:val="1C4076"/>
          <w:sz w:val="22"/>
        </w:rPr>
        <w:t>Changes to the Company’s CEO and possibly also the Chair of the Board of Directors may constitute Inside Information and be subject to the Company’s general disclosure obligation. Other proposed or actual changes to the Company’s Board of Directors, Executive Management or other management positions may also be deemed to constitute Inside Information. Disclosure of such Inside Information must comply with the Company’s general disclosure obligation as described in section 3 “Disclosure of Inside Information (general disclosure obligation)” above.</w:t>
      </w:r>
    </w:p>
    <w:p>
      <w:pPr>
        <w:spacing w:after="200"/>
        <w:jc w:val="both"/>
      </w:pPr>
      <w:r>
        <w:rPr>
          <w:rFonts w:ascii="Avenir Next LT Pro" w:hAnsi="Avenir Next LT Pro"/>
          <w:b w:val="0"/>
          <w:i w:val="0"/>
          <w:color w:val="1C4076"/>
          <w:sz w:val="22"/>
        </w:rPr>
        <w:t>Any appointment and retirement of the Company’s auditors must also be disclosed.</w:t>
      </w:r>
    </w:p>
    <w:p>
      <w:pPr>
        <w:keepNext/>
        <w:tabs>
          <w:tab w:pos="708" w:val="left"/>
        </w:tabs>
        <w:spacing w:before="260" w:after="160"/>
        <w:ind w:left="708" w:hanging="708"/>
      </w:pPr>
      <w:r>
        <w:rPr>
          <w:rFonts w:ascii="Avenir Next LT Pro" w:hAnsi="Avenir Next LT Pro"/>
          <w:b/>
          <w:i w:val="0"/>
          <w:color w:val="1C4076"/>
          <w:sz w:val="28"/>
        </w:rPr>
        <w:t>7</w:t>
        <w:tab/>
        <w:t>Liquidity enhancement</w:t>
      </w:r>
    </w:p>
    <w:p>
      <w:pPr>
        <w:spacing w:after="200"/>
        <w:jc w:val="both"/>
      </w:pPr>
      <w:r>
        <w:rPr>
          <w:rFonts w:ascii="Avenir Next LT Pro" w:hAnsi="Avenir Next LT Pro"/>
          <w:b w:val="0"/>
          <w:i w:val="0"/>
          <w:color w:val="1C4076"/>
          <w:sz w:val="22"/>
        </w:rPr>
        <w:t>The Company shall disclose when it has entered into a new agreement on liquidity enhancement. Agreements on liquidity enhancement should be understood as any agreements on liquidity provision as well as any other agreements on liquidity enhancement or liquidity support entered into between the Company and the third party that provides the enhancement or support.</w:t>
      </w:r>
    </w:p>
    <w:p>
      <w:pPr>
        <w:spacing w:after="200"/>
        <w:jc w:val="both"/>
      </w:pPr>
      <w:r>
        <w:rPr>
          <w:rFonts w:ascii="Avenir Next LT Pro" w:hAnsi="Avenir Next LT Pro"/>
          <w:b w:val="0"/>
          <w:i w:val="0"/>
          <w:color w:val="1C4076"/>
          <w:sz w:val="22"/>
        </w:rPr>
        <w:t>The Company shall disclose the main terms of its agreements, any changes thereto and the termination of any such agreement.</w:t>
      </w:r>
    </w:p>
    <w:p>
      <w:pPr>
        <w:keepNext/>
        <w:tabs>
          <w:tab w:pos="708" w:val="left"/>
        </w:tabs>
        <w:spacing w:before="260" w:after="160"/>
        <w:ind w:left="708" w:hanging="708"/>
      </w:pPr>
      <w:r>
        <w:rPr>
          <w:rFonts w:ascii="Avenir Next LT Pro" w:hAnsi="Avenir Next LT Pro"/>
          <w:b/>
          <w:i w:val="0"/>
          <w:color w:val="1C4076"/>
          <w:sz w:val="28"/>
        </w:rPr>
        <w:t>8</w:t>
        <w:tab/>
        <w:t>Related party transactions</w:t>
      </w:r>
    </w:p>
    <w:p>
      <w:pPr>
        <w:spacing w:after="200"/>
        <w:jc w:val="both"/>
      </w:pPr>
      <w:r>
        <w:rPr>
          <w:rFonts w:ascii="Avenir Next LT Pro" w:hAnsi="Avenir Next LT Pro"/>
          <w:b w:val="0"/>
          <w:i w:val="0"/>
          <w:color w:val="1C4076"/>
          <w:sz w:val="22"/>
        </w:rPr>
        <w:t>A transaction between the Company and its related parties, which is not entered into in the ordinary course of business, shall be disclosed, if the transaction represents (i) a fair value of 10% or more of the total assets of the Group, (ii) a fair value of 25% or more of the Group’s operation profit as disclosed in the most recent annual report, or (iii) several transactions within a financial year with the same related party in total exceed the thresholds in (i) or (ii).</w:t>
      </w:r>
    </w:p>
    <w:p>
      <w:pPr>
        <w:spacing w:after="200"/>
        <w:jc w:val="both"/>
      </w:pPr>
      <w:r>
        <w:rPr>
          <w:rFonts w:ascii="Avenir Next LT Pro" w:hAnsi="Avenir Next LT Pro"/>
          <w:b w:val="0"/>
          <w:i w:val="0"/>
          <w:color w:val="1C4076"/>
          <w:sz w:val="22"/>
        </w:rPr>
        <w:t>Disclosure pursuant to this section 8 shall take place as soon as possible after an agreement regarding such transaction with a related party has been entered into.</w:t>
      </w:r>
    </w:p>
    <w:p>
      <w:pPr>
        <w:spacing w:after="200"/>
        <w:jc w:val="both"/>
      </w:pPr>
      <w:r>
        <w:rPr>
          <w:rFonts w:ascii="Avenir Next LT Pro" w:hAnsi="Avenir Next LT Pro"/>
          <w:b w:val="0"/>
          <w:i w:val="0"/>
          <w:color w:val="1C4076"/>
          <w:sz w:val="22"/>
        </w:rPr>
        <w:t>The disclosure shall at least take place by way of publication on the Company’s website and shall at least contain (i) information on the character of the relationship with the related party, (ii) the name of the related party, (iii) the date of conclusion of the agreement regarding the related party transaction, (iv) the fair value of the transaction and (v) any other information which is necessary to assess whether the transaction has been carried out on terms that are reasonable for the Company and the shareholders of the Company who are not related parties to the Company.</w:t>
      </w:r>
    </w:p>
    <w:p>
      <w:pPr>
        <w:spacing w:after="200"/>
        <w:jc w:val="both"/>
      </w:pPr>
      <w:r>
        <w:rPr>
          <w:rFonts w:ascii="Avenir Next LT Pro" w:hAnsi="Avenir Next LT Pro"/>
          <w:b w:val="0"/>
          <w:i w:val="0"/>
          <w:color w:val="1C4076"/>
          <w:sz w:val="22"/>
        </w:rPr>
        <w:t>The disclosure shall be available to the public on the Company’s website for five years.</w:t>
      </w:r>
    </w:p>
    <w:p>
      <w:pPr>
        <w:spacing w:after="200"/>
        <w:jc w:val="both"/>
      </w:pPr>
      <w:r>
        <w:rPr>
          <w:rFonts w:ascii="Avenir Next LT Pro" w:hAnsi="Avenir Next LT Pro"/>
          <w:b w:val="0"/>
          <w:i w:val="0"/>
          <w:color w:val="1C4076"/>
          <w:sz w:val="22"/>
        </w:rPr>
        <w:t>“Related parties” shall have the same meaning as set out in the International Accounting Standards 24, excluding transactions between the Company and its subsidiaries.</w:t>
      </w:r>
    </w:p>
    <w:p>
      <w:pPr>
        <w:spacing w:after="200"/>
        <w:jc w:val="both"/>
      </w:pPr>
      <w:r>
        <w:rPr>
          <w:rFonts w:ascii="Avenir Next LT Pro" w:hAnsi="Avenir Next LT Pro"/>
          <w:b w:val="0"/>
          <w:i w:val="0"/>
          <w:color w:val="1C4076"/>
          <w:sz w:val="22"/>
        </w:rPr>
        <w:t>The disclosure requirements set out in this section 8 does not apply in respect of (i) transactions between the Company and its subsidiaries, unless the Company’s related parties have significant interests in the subsidiary in question, (ii) clearly defined types of transactions to be approved by the general meeting (e.g. mergers and demergers, etc.), (iii) transactions regarding the remuneration of the Executive Management and the Board of Directors, and (iv) transactions which are offered to all shareholders of the Company on equal terms so that the equal treatment of all shareholders and the protection of the Company’s interests have been satisfied.</w:t>
      </w:r>
    </w:p>
    <w:p>
      <w:pPr>
        <w:spacing w:after="200"/>
        <w:jc w:val="both"/>
      </w:pPr>
      <w:r>
        <w:rPr>
          <w:rFonts w:ascii="Avenir Next LT Pro" w:hAnsi="Avenir Next LT Pro"/>
          <w:b w:val="0"/>
          <w:i w:val="0"/>
          <w:color w:val="1C4076"/>
          <w:sz w:val="22"/>
        </w:rPr>
        <w:t>This section 8 shall also apply in respect of transactions between the Company’s related parties and the Company’s subsidiaries.</w:t>
      </w:r>
    </w:p>
    <w:p>
      <w:pPr>
        <w:spacing w:after="200"/>
        <w:jc w:val="both"/>
      </w:pPr>
      <w:r>
        <w:rPr>
          <w:rFonts w:ascii="Avenir Next LT Pro" w:hAnsi="Avenir Next LT Pro"/>
          <w:b w:val="0"/>
          <w:i w:val="0"/>
          <w:color w:val="1C4076"/>
          <w:sz w:val="22"/>
        </w:rPr>
        <w:t>If the related party transaction will be deemed to constitute Inside Information, disclosure of such Inside Information must comply with the Company’s general disclosure obligation as described in Section 3 “Disclosure of Inside Information (general disclosure obligation)” above.</w:t>
      </w:r>
    </w:p>
    <w:p>
      <w:pPr>
        <w:keepNext/>
        <w:tabs>
          <w:tab w:pos="708" w:val="left"/>
        </w:tabs>
        <w:spacing w:before="260" w:after="160"/>
        <w:ind w:left="708" w:hanging="708"/>
      </w:pPr>
      <w:r>
        <w:rPr>
          <w:rFonts w:ascii="Avenir Next LT Pro" w:hAnsi="Avenir Next LT Pro"/>
          <w:b/>
          <w:i w:val="0"/>
          <w:color w:val="1C4076"/>
          <w:sz w:val="28"/>
        </w:rPr>
        <w:t>9</w:t>
        <w:tab/>
        <w:t>Share-based incentive programmes</w:t>
      </w:r>
    </w:p>
    <w:p>
      <w:pPr>
        <w:spacing w:after="200"/>
        <w:jc w:val="both"/>
      </w:pPr>
      <w:r>
        <w:rPr>
          <w:rFonts w:ascii="Avenir Next LT Pro" w:hAnsi="Avenir Next LT Pro"/>
          <w:b w:val="0"/>
          <w:i w:val="0"/>
          <w:color w:val="1C4076"/>
          <w:sz w:val="22"/>
        </w:rPr>
        <w:t>The Company shall disclose any decision to introduce share-based incentive programs. The announcement must contain information on the most important conditions for the program.</w:t>
      </w:r>
    </w:p>
    <w:p>
      <w:pPr>
        <w:spacing w:after="200"/>
        <w:jc w:val="both"/>
      </w:pPr>
      <w:r>
        <w:rPr>
          <w:rFonts w:ascii="Avenir Next LT Pro" w:hAnsi="Avenir Next LT Pro"/>
          <w:b w:val="0"/>
          <w:i w:val="0"/>
          <w:color w:val="1C4076"/>
          <w:sz w:val="22"/>
        </w:rPr>
        <w:t>The disclosure shall provide investors with information about the incentives for management and other employees and the dilution effect of the incentive programs in order to contribute to the investors’ understanding of the total potential liabilities under such programs. Rule 3.8.1 of the Rules for Issuers sets out special requirements as for the contents of such disclosure.</w:t>
      </w:r>
    </w:p>
    <w:p>
      <w:pPr>
        <w:spacing w:after="200"/>
        <w:jc w:val="both"/>
      </w:pPr>
      <w:r>
        <w:rPr>
          <w:rFonts w:ascii="Avenir Next LT Pro" w:hAnsi="Avenir Next LT Pro"/>
          <w:b w:val="0"/>
          <w:i w:val="0"/>
          <w:color w:val="1C4076"/>
          <w:sz w:val="22"/>
        </w:rPr>
        <w:t>Share-based incentive programs mean any incentive programs under which the participants receive Shares, financial instruments entitling to Shares, other financial instruments whose value is based on share price, synthetic programs under which cash settlement is based on share price or other similar programs.</w:t>
      </w:r>
    </w:p>
    <w:p>
      <w:pPr>
        <w:keepNext/>
        <w:tabs>
          <w:tab w:pos="708" w:val="left"/>
        </w:tabs>
        <w:spacing w:before="260" w:after="160"/>
        <w:ind w:left="708" w:hanging="708"/>
      </w:pPr>
      <w:r>
        <w:rPr>
          <w:rFonts w:ascii="Avenir Next LT Pro" w:hAnsi="Avenir Next LT Pro"/>
          <w:b/>
          <w:i w:val="0"/>
          <w:color w:val="1C4076"/>
          <w:sz w:val="28"/>
        </w:rPr>
        <w:t>10</w:t>
        <w:tab/>
        <w:t>Substantial changes to the identity or operations of the Company</w:t>
      </w:r>
    </w:p>
    <w:p>
      <w:pPr>
        <w:spacing w:after="200"/>
        <w:jc w:val="both"/>
      </w:pPr>
      <w:r>
        <w:rPr>
          <w:rFonts w:ascii="Avenir Next LT Pro" w:hAnsi="Avenir Next LT Pro"/>
          <w:b w:val="0"/>
          <w:i w:val="0"/>
          <w:color w:val="1C4076"/>
          <w:sz w:val="22"/>
        </w:rPr>
        <w:t>If the Company undergoes significant changes and, following those changes, may be regarded as an entirely new company, additional information regarding the Company shall be provided equivalent to what is required pursuant to the rules applicable to prospectuses. Prior to effecting such a change, Nasdaq Copenhagen should be contacted.</w:t>
      </w:r>
    </w:p>
    <w:p>
      <w:pPr>
        <w:keepNext/>
        <w:tabs>
          <w:tab w:pos="708" w:val="left"/>
        </w:tabs>
        <w:spacing w:before="260" w:after="160"/>
        <w:ind w:left="708" w:hanging="708"/>
      </w:pPr>
      <w:r>
        <w:rPr>
          <w:rFonts w:ascii="Avenir Next LT Pro" w:hAnsi="Avenir Next LT Pro"/>
          <w:b/>
          <w:i w:val="0"/>
          <w:color w:val="1C4076"/>
          <w:sz w:val="28"/>
        </w:rPr>
        <w:t>11</w:t>
        <w:tab/>
        <w:t>Issue of Financial Instruments</w:t>
      </w:r>
    </w:p>
    <w:p>
      <w:pPr>
        <w:spacing w:after="200"/>
        <w:jc w:val="both"/>
      </w:pPr>
      <w:r>
        <w:rPr>
          <w:rFonts w:ascii="Avenir Next LT Pro" w:hAnsi="Avenir Next LT Pro"/>
          <w:b w:val="0"/>
          <w:i w:val="0"/>
          <w:color w:val="1C4076"/>
          <w:sz w:val="22"/>
        </w:rPr>
        <w:t>The Company must publish any proposal and any decision to change the share capital or the number of Shares or other Financial Instruments attaching to the Shares, unless such issue will be immaterial. The announcement must contain all significant information about the issue.</w:t>
      </w:r>
    </w:p>
    <w:p>
      <w:pPr>
        <w:keepNext/>
        <w:tabs>
          <w:tab w:pos="708" w:val="left"/>
        </w:tabs>
        <w:spacing w:before="260" w:after="160"/>
        <w:ind w:left="708" w:hanging="708"/>
      </w:pPr>
      <w:r>
        <w:rPr>
          <w:rFonts w:ascii="Avenir Next LT Pro" w:hAnsi="Avenir Next LT Pro"/>
          <w:b/>
          <w:i w:val="0"/>
          <w:color w:val="1C4076"/>
          <w:sz w:val="28"/>
        </w:rPr>
        <w:t>12</w:t>
        <w:tab/>
        <w:t>Decisions concerning admission to trading</w:t>
      </w:r>
    </w:p>
    <w:p>
      <w:pPr>
        <w:spacing w:after="200"/>
        <w:jc w:val="both"/>
      </w:pPr>
      <w:r>
        <w:rPr>
          <w:rFonts w:ascii="Avenir Next LT Pro" w:hAnsi="Avenir Next LT Pro"/>
          <w:b w:val="0"/>
          <w:i w:val="0"/>
          <w:color w:val="1C4076"/>
          <w:sz w:val="22"/>
        </w:rPr>
        <w:t>The Company must disclose if it wishes to apply for secondary listing on another market place than Nasdaq Copenhagen. The Company must also state if it decides to apply for removal of its shares from trading on Nasdaq Copenhagen. Finally, the Company must state if such applications are granted or rejected.</w:t>
      </w:r>
    </w:p>
    <w:p>
      <w:pPr>
        <w:keepNext/>
        <w:tabs>
          <w:tab w:pos="708" w:val="left"/>
        </w:tabs>
        <w:spacing w:before="260" w:after="160"/>
        <w:ind w:left="708" w:hanging="708"/>
      </w:pPr>
      <w:r>
        <w:rPr>
          <w:rFonts w:ascii="Avenir Next LT Pro" w:hAnsi="Avenir Next LT Pro"/>
          <w:b/>
          <w:i w:val="0"/>
          <w:color w:val="1C4076"/>
          <w:sz w:val="28"/>
        </w:rPr>
        <w:t>13</w:t>
        <w:tab/>
        <w:t>Disclosure considered necessary to provide fairly and orderly trading</w:t>
      </w:r>
    </w:p>
    <w:p>
      <w:pPr>
        <w:spacing w:after="200"/>
        <w:jc w:val="both"/>
      </w:pPr>
      <w:r>
        <w:rPr>
          <w:rFonts w:ascii="Avenir Next LT Pro" w:hAnsi="Avenir Next LT Pro"/>
          <w:b w:val="0"/>
          <w:i w:val="0"/>
          <w:color w:val="1C4076"/>
          <w:sz w:val="22"/>
        </w:rPr>
        <w:t>If Nasdaq Copenhagen considers that special circumstances exist that result in substantial uncertainty regarding the Company or the pricing of its Shares and that additional information is required in order for Nasdaq Copenhagen to be able to provide fair and orderly trading in the Company’s Shares, Nasdaq Copenhagen can require the Company to disclose relevant information whether or not such information is considered Inside Information.</w:t>
      </w:r>
    </w:p>
    <w:p>
      <w:pPr>
        <w:keepNext/>
        <w:tabs>
          <w:tab w:pos="708" w:val="left"/>
        </w:tabs>
        <w:spacing w:before="260" w:after="160"/>
        <w:ind w:left="708" w:hanging="708"/>
      </w:pPr>
      <w:r>
        <w:rPr>
          <w:rFonts w:ascii="Avenir Next LT Pro" w:hAnsi="Avenir Next LT Pro"/>
          <w:b/>
          <w:i w:val="0"/>
          <w:color w:val="1C4076"/>
          <w:sz w:val="28"/>
        </w:rPr>
        <w:t>14</w:t>
        <w:tab/>
        <w:t>Major shareholder announcements</w:t>
      </w:r>
    </w:p>
    <w:p>
      <w:pPr>
        <w:spacing w:after="200"/>
        <w:jc w:val="both"/>
      </w:pPr>
      <w:r>
        <w:rPr>
          <w:rFonts w:ascii="Avenir Next LT Pro" w:hAnsi="Avenir Next LT Pro"/>
          <w:b w:val="0"/>
          <w:i w:val="0"/>
          <w:color w:val="1C4076"/>
          <w:sz w:val="22"/>
        </w:rPr>
        <w:t>If the Company receives a major shareholder notification pursuant to sections 38 and 39 of the Capital Markets Act, the Company must publish the contents of the notification through a separate company announcement on the date of receipt of such notification, however no later than three business days after receipt of the notification.</w:t>
      </w:r>
    </w:p>
    <w:p>
      <w:pPr>
        <w:keepNext/>
        <w:tabs>
          <w:tab w:pos="708" w:val="left"/>
        </w:tabs>
        <w:spacing w:before="260" w:after="160"/>
        <w:ind w:left="708" w:hanging="708"/>
      </w:pPr>
      <w:r>
        <w:rPr>
          <w:rFonts w:ascii="Avenir Next LT Pro" w:hAnsi="Avenir Next LT Pro"/>
          <w:b/>
          <w:i w:val="0"/>
          <w:color w:val="1C4076"/>
          <w:sz w:val="28"/>
        </w:rPr>
        <w:t>15</w:t>
        <w:tab/>
        <w:t>Voting rights and share capital</w:t>
      </w:r>
    </w:p>
    <w:p>
      <w:pPr>
        <w:spacing w:after="200"/>
        <w:jc w:val="both"/>
      </w:pPr>
      <w:r>
        <w:rPr>
          <w:rFonts w:ascii="Avenir Next LT Pro" w:hAnsi="Avenir Next LT Pro"/>
          <w:b w:val="0"/>
          <w:i w:val="0"/>
          <w:color w:val="1C4076"/>
          <w:sz w:val="22"/>
        </w:rPr>
        <w:t>If an increase or decrease has taken place in the Company’s share capital and/or voting rights, the Company shall no later than at the end of the calendar month in which the increase or decrease took place, disclose the total number of voting rights and the total share capital of the Company in accordance with section 32 of the Capital Markets Act.</w:t>
      </w:r>
    </w:p>
    <w:p>
      <w:pPr>
        <w:keepNext/>
        <w:tabs>
          <w:tab w:pos="708" w:val="left"/>
        </w:tabs>
        <w:spacing w:before="260" w:after="160"/>
        <w:ind w:left="708" w:hanging="708"/>
      </w:pPr>
      <w:r>
        <w:rPr>
          <w:rFonts w:ascii="Avenir Next LT Pro" w:hAnsi="Avenir Next LT Pro"/>
          <w:b/>
          <w:i w:val="0"/>
          <w:color w:val="1C4076"/>
          <w:sz w:val="28"/>
        </w:rPr>
        <w:t>16</w:t>
        <w:tab/>
        <w:t>Share buyback under the Safe Harbour Rules</w:t>
      </w:r>
    </w:p>
    <w:p>
      <w:pPr>
        <w:spacing w:after="200"/>
        <w:jc w:val="both"/>
      </w:pPr>
      <w:r>
        <w:rPr>
          <w:rFonts w:ascii="Avenir Next LT Pro" w:hAnsi="Avenir Next LT Pro"/>
          <w:b w:val="0"/>
          <w:i w:val="0"/>
          <w:color w:val="1C4076"/>
          <w:sz w:val="22"/>
        </w:rPr>
        <w:t>If the Company decides to initiate a share buyback programme in accordance with the Safe Harbour Rules, announcements must be published in accordance with the requirements of these rules.</w:t>
      </w:r>
    </w:p>
    <w:p>
      <w:pPr>
        <w:keepNext/>
        <w:tabs>
          <w:tab w:pos="708" w:val="left"/>
        </w:tabs>
        <w:spacing w:before="260" w:after="160"/>
        <w:ind w:left="708" w:hanging="708"/>
      </w:pPr>
      <w:r>
        <w:rPr>
          <w:rFonts w:ascii="Avenir Next LT Pro" w:hAnsi="Avenir Next LT Pro"/>
          <w:b/>
          <w:i w:val="0"/>
          <w:color w:val="1C4076"/>
          <w:sz w:val="28"/>
        </w:rPr>
        <w:t>17</w:t>
        <w:tab/>
        <w:t>Treasury shares</w:t>
      </w:r>
    </w:p>
    <w:p>
      <w:pPr>
        <w:spacing w:after="200"/>
        <w:jc w:val="both"/>
      </w:pPr>
      <w:r>
        <w:rPr>
          <w:rFonts w:ascii="Avenir Next LT Pro" w:hAnsi="Avenir Next LT Pro"/>
          <w:b w:val="0"/>
          <w:i w:val="0"/>
          <w:color w:val="1C4076"/>
          <w:sz w:val="22"/>
        </w:rPr>
        <w:t>The Company shall disclose its holding of treasury Shares in accordance with section 31 of the Capital Markets Act if the Company’s holding of treasury Shares reaches, exceeds or falls below 5% or 10% of the voting rights or the share capital in the Company. Disclosure shall be made promptly; however, no later than four business days after the day of the transaction where the threshold was crossed. The company announcement will through the Company’s chosen news distribution service also be submitted to Nasdaq Copenhagen and the Danish Financial Supervisory Authority ensuring the Company’s compliance with its reporting obligation to the Danish Financial Supervisory Authority.</w:t>
      </w:r>
    </w:p>
    <w:p>
      <w:pPr>
        <w:keepNext/>
        <w:spacing w:before="260" w:after="160"/>
      </w:pPr>
      <w:r>
        <w:rPr>
          <w:rFonts w:ascii="Avenir Next LT Pro" w:hAnsi="Avenir Next LT Pro"/>
          <w:b/>
          <w:i w:val="0"/>
          <w:color w:val="1C4076"/>
          <w:sz w:val="28"/>
        </w:rPr>
        <w:t>Appendix A – Definitions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Board of Directors</w:t>
            </w:r>
          </w:p>
        </w:tc>
        <w:tc>
          <w:tcPr>
            <w:tcW w:type="dxa" w:w="5103"/>
          </w:tcPr>
          <w:p>
            <w:r/>
            <w:r>
              <w:rPr>
                <w:rFonts w:ascii="Avenir Next LT Pro" w:hAnsi="Avenir Next LT Pro"/>
                <w:b w:val="0"/>
                <w:i w:val="0"/>
                <w:color w:val="1C4076"/>
                <w:sz w:val="17"/>
              </w:rPr>
              <w:t>The Board of Directors of the Company and the individual members thereof.</w:t>
            </w:r>
          </w:p>
        </w:tc>
      </w:tr>
      <w:tr>
        <w:tc>
          <w:tcPr>
            <w:tcW w:type="dxa" w:w="5103"/>
          </w:tcPr>
          <w:p>
            <w:r/>
            <w:r>
              <w:rPr>
                <w:rFonts w:ascii="Avenir Next LT Pro" w:hAnsi="Avenir Next LT Pro"/>
                <w:b w:val="0"/>
                <w:i w:val="0"/>
                <w:color w:val="1C4076"/>
                <w:sz w:val="17"/>
              </w:rPr>
              <w:t>Capital Markets Act</w:t>
            </w:r>
          </w:p>
        </w:tc>
        <w:tc>
          <w:tcPr>
            <w:tcW w:type="dxa" w:w="5103"/>
          </w:tcPr>
          <w:p>
            <w:r/>
            <w:r>
              <w:rPr>
                <w:rFonts w:ascii="Avenir Next LT Pro" w:hAnsi="Avenir Next LT Pro"/>
                <w:b w:val="0"/>
                <w:i w:val="0"/>
                <w:color w:val="1C4076"/>
                <w:sz w:val="17"/>
              </w:rPr>
              <w:t>The Danish Capital Markets Act as amended from time to time.</w:t>
            </w:r>
          </w:p>
        </w:tc>
      </w:tr>
      <w:tr>
        <w:tc>
          <w:tcPr>
            <w:tcW w:type="dxa" w:w="5103"/>
          </w:tcPr>
          <w:p>
            <w:r/>
            <w:r>
              <w:rPr>
                <w:rFonts w:ascii="Avenir Next LT Pro" w:hAnsi="Avenir Next LT Pro"/>
                <w:b w:val="0"/>
                <w:i w:val="0"/>
                <w:color w:val="1C4076"/>
                <w:sz w:val="17"/>
              </w:rPr>
              <w:t>Company</w:t>
            </w:r>
          </w:p>
        </w:tc>
        <w:tc>
          <w:tcPr>
            <w:tcW w:type="dxa" w:w="5103"/>
          </w:tcPr>
          <w:p>
            <w:r/>
            <w:r>
              <w:rPr>
                <w:rFonts w:ascii="Avenir Next LT Pro" w:hAnsi="Avenir Next LT Pro"/>
                <w:b w:val="0"/>
                <w:i w:val="0"/>
                <w:color w:val="1C4076"/>
                <w:sz w:val="17"/>
              </w:rPr>
              <w:t>BioMar Group A/S, CVR no. 38 57 06 17.</w:t>
            </w:r>
          </w:p>
        </w:tc>
      </w:tr>
      <w:tr>
        <w:tc>
          <w:tcPr>
            <w:tcW w:type="dxa" w:w="5103"/>
          </w:tcPr>
          <w:p>
            <w:r/>
            <w:r>
              <w:rPr>
                <w:rFonts w:ascii="Avenir Next LT Pro" w:hAnsi="Avenir Next LT Pro"/>
                <w:b w:val="0"/>
                <w:i w:val="0"/>
                <w:color w:val="1C4076"/>
                <w:sz w:val="17"/>
              </w:rPr>
              <w:t>Executive Management</w:t>
            </w:r>
          </w:p>
        </w:tc>
        <w:tc>
          <w:tcPr>
            <w:tcW w:type="dxa" w:w="5103"/>
          </w:tcPr>
          <w:p>
            <w:r/>
            <w:r>
              <w:rPr>
                <w:rFonts w:ascii="Avenir Next LT Pro" w:hAnsi="Avenir Next LT Pro"/>
                <w:b w:val="0"/>
                <w:i w:val="0"/>
                <w:color w:val="1C4076"/>
                <w:sz w:val="17"/>
              </w:rPr>
              <w:t>The Executive Management of the Company and the individual members thereof as registered with the Danish Business Authority.</w:t>
            </w:r>
          </w:p>
        </w:tc>
      </w:tr>
      <w:tr>
        <w:tc>
          <w:tcPr>
            <w:tcW w:type="dxa" w:w="5103"/>
          </w:tcPr>
          <w:p>
            <w:r/>
            <w:r>
              <w:rPr>
                <w:rFonts w:ascii="Avenir Next LT Pro" w:hAnsi="Avenir Next LT Pro"/>
                <w:b w:val="0"/>
                <w:i w:val="0"/>
                <w:color w:val="1C4076"/>
                <w:sz w:val="17"/>
              </w:rPr>
              <w:t>Financial Instruments</w:t>
            </w:r>
          </w:p>
        </w:tc>
        <w:tc>
          <w:tcPr>
            <w:tcW w:type="dxa" w:w="5103"/>
          </w:tcPr>
          <w:p>
            <w:r/>
            <w:r>
              <w:rPr>
                <w:rFonts w:ascii="Avenir Next LT Pro" w:hAnsi="Avenir Next LT Pro"/>
                <w:b w:val="0"/>
                <w:i w:val="0"/>
                <w:color w:val="1C4076"/>
                <w:sz w:val="17"/>
              </w:rPr>
              <w:t>Any financial instrument (including the Shares) issued by the Company or a company as defined in Article 4(1)(15) of Directive 2014/65/EU (MiFID II), including share options, subscription rights, futures and debt instruments.</w:t>
            </w:r>
          </w:p>
        </w:tc>
      </w:tr>
      <w:tr>
        <w:tc>
          <w:tcPr>
            <w:tcW w:type="dxa" w:w="5103"/>
          </w:tcPr>
          <w:p>
            <w:r/>
            <w:r>
              <w:rPr>
                <w:rFonts w:ascii="Avenir Next LT Pro" w:hAnsi="Avenir Next LT Pro"/>
                <w:b w:val="0"/>
                <w:i w:val="0"/>
                <w:color w:val="1C4076"/>
                <w:sz w:val="17"/>
              </w:rPr>
              <w:t>Group</w:t>
            </w:r>
          </w:p>
        </w:tc>
        <w:tc>
          <w:tcPr>
            <w:tcW w:type="dxa" w:w="5103"/>
          </w:tcPr>
          <w:p>
            <w:r/>
            <w:r>
              <w:rPr>
                <w:rFonts w:ascii="Avenir Next LT Pro" w:hAnsi="Avenir Next LT Pro"/>
                <w:b w:val="0"/>
                <w:i w:val="0"/>
                <w:color w:val="1C4076"/>
                <w:sz w:val="17"/>
              </w:rPr>
              <w:t>The Company and its subsidiaries from time to time.</w:t>
            </w:r>
          </w:p>
        </w:tc>
      </w:tr>
      <w:tr>
        <w:tc>
          <w:tcPr>
            <w:tcW w:type="dxa" w:w="5103"/>
          </w:tcPr>
          <w:p>
            <w:r/>
            <w:r>
              <w:rPr>
                <w:rFonts w:ascii="Avenir Next LT Pro" w:hAnsi="Avenir Next LT Pro"/>
                <w:b w:val="0"/>
                <w:i w:val="0"/>
                <w:color w:val="1C4076"/>
                <w:sz w:val="17"/>
              </w:rPr>
              <w:t>Inside information</w:t>
            </w:r>
          </w:p>
        </w:tc>
        <w:tc>
          <w:tcPr>
            <w:tcW w:type="dxa" w:w="5103"/>
          </w:tcPr>
          <w:p>
            <w:r/>
            <w:r>
              <w:rPr>
                <w:rFonts w:ascii="Avenir Next LT Pro" w:hAnsi="Avenir Next LT Pro"/>
                <w:b w:val="0"/>
                <w:i w:val="0"/>
                <w:color w:val="1C4076"/>
                <w:sz w:val="17"/>
              </w:rPr>
              <w:t>See definition in Appendix B.</w:t>
            </w:r>
          </w:p>
        </w:tc>
      </w:tr>
      <w:tr>
        <w:tc>
          <w:tcPr>
            <w:tcW w:type="dxa" w:w="5103"/>
          </w:tcPr>
          <w:p>
            <w:r/>
            <w:r>
              <w:rPr>
                <w:rFonts w:ascii="Avenir Next LT Pro" w:hAnsi="Avenir Next LT Pro"/>
                <w:b w:val="0"/>
                <w:i w:val="0"/>
                <w:color w:val="1C4076"/>
                <w:sz w:val="17"/>
              </w:rPr>
              <w:t>Market Abuse Regulation</w:t>
            </w:r>
          </w:p>
        </w:tc>
        <w:tc>
          <w:tcPr>
            <w:tcW w:type="dxa" w:w="5103"/>
          </w:tcPr>
          <w:p>
            <w:r/>
            <w:r>
              <w:rPr>
                <w:rFonts w:ascii="Avenir Next LT Pro" w:hAnsi="Avenir Next LT Pro"/>
                <w:b w:val="0"/>
                <w:i w:val="0"/>
                <w:color w:val="1C4076"/>
                <w:sz w:val="17"/>
              </w:rPr>
              <w:t>Regulation (EU) no. 596/2014 of 16 April 2014 on market abuse, as amended from time to time.</w:t>
            </w:r>
          </w:p>
        </w:tc>
      </w:tr>
      <w:tr>
        <w:tc>
          <w:tcPr>
            <w:tcW w:type="dxa" w:w="5103"/>
          </w:tcPr>
          <w:p>
            <w:r/>
            <w:r>
              <w:rPr>
                <w:rFonts w:ascii="Avenir Next LT Pro" w:hAnsi="Avenir Next LT Pro"/>
                <w:b w:val="0"/>
                <w:i w:val="0"/>
                <w:color w:val="1C4076"/>
                <w:sz w:val="17"/>
              </w:rPr>
              <w:t>Nasdaq Copenhagen</w:t>
            </w:r>
          </w:p>
        </w:tc>
        <w:tc>
          <w:tcPr>
            <w:tcW w:type="dxa" w:w="5103"/>
          </w:tcPr>
          <w:p>
            <w:r/>
            <w:r>
              <w:rPr>
                <w:rFonts w:ascii="Avenir Next LT Pro" w:hAnsi="Avenir Next LT Pro"/>
                <w:b w:val="0"/>
                <w:i w:val="0"/>
                <w:color w:val="1C4076"/>
                <w:sz w:val="17"/>
              </w:rPr>
              <w:t>Nasdaq Copenhagen A/S.</w:t>
            </w:r>
          </w:p>
        </w:tc>
      </w:tr>
      <w:tr>
        <w:tc>
          <w:tcPr>
            <w:tcW w:type="dxa" w:w="5103"/>
          </w:tcPr>
          <w:p>
            <w:r/>
            <w:r>
              <w:rPr>
                <w:rFonts w:ascii="Avenir Next LT Pro" w:hAnsi="Avenir Next LT Pro"/>
                <w:b w:val="0"/>
                <w:i w:val="0"/>
                <w:color w:val="1C4076"/>
                <w:sz w:val="17"/>
              </w:rPr>
              <w:t>Rules for Issuers</w:t>
            </w:r>
          </w:p>
        </w:tc>
        <w:tc>
          <w:tcPr>
            <w:tcW w:type="dxa" w:w="5103"/>
          </w:tcPr>
          <w:p>
            <w:r/>
            <w:r>
              <w:rPr>
                <w:rFonts w:ascii="Avenir Next LT Pro" w:hAnsi="Avenir Next LT Pro"/>
                <w:b w:val="0"/>
                <w:i w:val="0"/>
                <w:color w:val="1C4076"/>
                <w:sz w:val="17"/>
              </w:rPr>
              <w:t>Nasdaq’s Nordic Main Market Rulebook for Issuers of Shares.</w:t>
            </w:r>
          </w:p>
        </w:tc>
      </w:tr>
      <w:tr>
        <w:tc>
          <w:tcPr>
            <w:tcW w:type="dxa" w:w="5103"/>
          </w:tcPr>
          <w:p>
            <w:r/>
            <w:r>
              <w:rPr>
                <w:rFonts w:ascii="Avenir Next LT Pro" w:hAnsi="Avenir Next LT Pro"/>
                <w:b w:val="0"/>
                <w:i w:val="0"/>
                <w:color w:val="1C4076"/>
                <w:sz w:val="17"/>
              </w:rPr>
              <w:t>Safe Harbor Rules</w:t>
            </w:r>
          </w:p>
        </w:tc>
        <w:tc>
          <w:tcPr>
            <w:tcW w:type="dxa" w:w="5103"/>
          </w:tcPr>
          <w:p>
            <w:r/>
            <w:r>
              <w:rPr>
                <w:rFonts w:ascii="Avenir Next LT Pro" w:hAnsi="Avenir Next LT Pro"/>
                <w:b w:val="0"/>
                <w:i w:val="0"/>
                <w:color w:val="1C4076"/>
                <w:sz w:val="17"/>
              </w:rPr>
              <w:t>The Market Abuse Regulation art. 5 and any regulation issued pursuant hereto.</w:t>
            </w:r>
          </w:p>
        </w:tc>
      </w:tr>
      <w:tr>
        <w:tc>
          <w:tcPr>
            <w:tcW w:type="dxa" w:w="5103"/>
          </w:tcPr>
          <w:p>
            <w:r/>
            <w:r>
              <w:rPr>
                <w:rFonts w:ascii="Avenir Next LT Pro" w:hAnsi="Avenir Next LT Pro"/>
                <w:b w:val="0"/>
                <w:i w:val="0"/>
                <w:color w:val="1C4076"/>
                <w:sz w:val="17"/>
              </w:rPr>
              <w:t>Shares</w:t>
            </w:r>
          </w:p>
        </w:tc>
        <w:tc>
          <w:tcPr>
            <w:tcW w:type="dxa" w:w="5103"/>
          </w:tcPr>
          <w:p>
            <w:r/>
            <w:r>
              <w:rPr>
                <w:rFonts w:ascii="Avenir Next LT Pro" w:hAnsi="Avenir Next LT Pro"/>
                <w:b w:val="0"/>
                <w:i w:val="0"/>
                <w:color w:val="1C4076"/>
                <w:sz w:val="17"/>
              </w:rPr>
              <w:t>Shares issued by the Company.</w:t>
            </w:r>
          </w:p>
        </w:tc>
      </w:tr>
    </w:tbl>
    <w:p>
      <w:pPr>
        <w:keepNext/>
        <w:spacing w:before="260" w:after="160"/>
      </w:pPr>
      <w:r>
        <w:rPr>
          <w:rFonts w:ascii="Avenir Next LT Pro" w:hAnsi="Avenir Next LT Pro"/>
          <w:b/>
          <w:i w:val="0"/>
          <w:color w:val="1C4076"/>
          <w:sz w:val="28"/>
        </w:rPr>
        <w:t>Appendix B – Inside Information</w:t>
      </w:r>
    </w:p>
    <w:p>
      <w:pPr>
        <w:spacing w:after="200"/>
        <w:jc w:val="both"/>
      </w:pPr>
      <w:r>
        <w:rPr>
          <w:rFonts w:ascii="Avenir Next LT Pro" w:hAnsi="Avenir Next LT Pro"/>
          <w:b w:val="0"/>
          <w:i w:val="0"/>
          <w:color w:val="1C4076"/>
          <w:sz w:val="22"/>
        </w:rPr>
        <w:t xml:space="preserve">Article 7(1)(a) of the Market Abuse Regulation defines Inside Information as: </w:t>
      </w:r>
      <w:r>
        <w:rPr>
          <w:rFonts w:ascii="Avenir Next LT Pro" w:hAnsi="Avenir Next LT Pro"/>
          <w:b w:val="0"/>
          <w:i/>
          <w:color w:val="1C4076"/>
          <w:sz w:val="22"/>
        </w:rPr>
        <w:t>“information of a precise nature, which has not been made public, relating, directly or indirectly, to one or more issuers or to one or more financial instruments, and which, if it were made public, would be likely to have a significant effect on the prices of those financial instruments or on the price of related derivative financial instruments”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Information shall be deemed to be of “a precise nature” if it indicates a set of circumstances which exists or which may reasonably be expected to come into existence, or an event which has occurred or which may reasonably be expected to occur where it is specific enough to enable a conclusion to be drawn as to the possible effect of that set of circumstances or event on the prices of the financial instruments or the related derivate financial instrument. In the case of a protracted process that is intended to bring about, or that results in, particular circumstances or a particular event, those future circumstances or that future event, and also the intermediate steps of that process which are connected with bringing about or resulting in those future circumstances or that future event, may be deemed to be precise information.</w:t>
      </w:r>
    </w:p>
    <w:p>
      <w:pPr>
        <w:spacing w:after="200"/>
        <w:jc w:val="both"/>
      </w:pPr>
      <w:r>
        <w:rPr>
          <w:rFonts w:ascii="Avenir Next LT Pro" w:hAnsi="Avenir Next LT Pro"/>
          <w:b w:val="0"/>
          <w:i w:val="0"/>
          <w:color w:val="1C4076"/>
          <w:sz w:val="22"/>
        </w:rPr>
        <w:t>The disclosure obligation in relation to Inside Information that arises in relation to an intermediate step in a protracted process is required once the final circumstances or final event has occurred, provided that confidentiality is ensured.</w:t>
      </w:r>
    </w:p>
    <w:p>
      <w:pPr>
        <w:spacing w:after="200"/>
        <w:jc w:val="both"/>
      </w:pPr>
      <w:r>
        <w:rPr>
          <w:rFonts w:ascii="Avenir Next LT Pro" w:hAnsi="Avenir Next LT Pro"/>
          <w:b w:val="0"/>
          <w:i w:val="0"/>
          <w:color w:val="1C4076"/>
          <w:sz w:val="22"/>
        </w:rPr>
        <w:t>Information which, if it were made public, would be likely to have a significant effect on the prices of financial instruments etc. shall mean information a reasonable investor would be likely to use as part of the basis of his or her investment decisions.</w:t>
      </w:r>
    </w:p>
    <w:p>
      <w:pPr>
        <w:spacing w:after="200"/>
        <w:jc w:val="both"/>
      </w:pPr>
      <w:r>
        <w:rPr>
          <w:rFonts w:ascii="Avenir Next LT Pro" w:hAnsi="Avenir Next LT Pro"/>
          <w:b w:val="0"/>
          <w:i w:val="0"/>
          <w:color w:val="1C4076"/>
          <w:sz w:val="22"/>
        </w:rPr>
        <w:t>The nature of the information that may be deemed Inside Information is not set out in the legislation. Below are examples of circumstances which depending on the circumstances may be considered Inside Information:</w:t>
      </w:r>
    </w:p>
    <w:p>
      <w:pPr>
        <w:tabs>
          <w:tab w:pos="1416" w:val="left"/>
        </w:tabs>
        <w:spacing w:after="160"/>
        <w:ind w:left="1416" w:hanging="708"/>
      </w:pPr>
      <w:r>
        <w:rPr>
          <w:rFonts w:ascii="Avenir Next LT Pro" w:hAnsi="Avenir Next LT Pro"/>
          <w:b w:val="0"/>
          <w:i w:val="0"/>
          <w:color w:val="1C4076"/>
          <w:sz w:val="22"/>
        </w:rPr>
        <w:t>•</w:t>
        <w:tab/>
        <w:t>Major expansions or reductions in the Company’s activities.</w:t>
      </w:r>
    </w:p>
    <w:p>
      <w:pPr>
        <w:tabs>
          <w:tab w:pos="1416" w:val="left"/>
        </w:tabs>
        <w:spacing w:after="160"/>
        <w:ind w:left="1416" w:hanging="708"/>
      </w:pPr>
      <w:r>
        <w:rPr>
          <w:rFonts w:ascii="Avenir Next LT Pro" w:hAnsi="Avenir Next LT Pro"/>
          <w:b w:val="0"/>
          <w:i w:val="0"/>
          <w:color w:val="1C4076"/>
          <w:sz w:val="22"/>
        </w:rPr>
        <w:t>•</w:t>
        <w:tab/>
        <w:t>Acquisition or sale of material companies/subsidiaries or fixed assets.</w:t>
      </w:r>
    </w:p>
    <w:p>
      <w:pPr>
        <w:tabs>
          <w:tab w:pos="1416" w:val="left"/>
        </w:tabs>
        <w:spacing w:after="160"/>
        <w:ind w:left="1416" w:hanging="708"/>
      </w:pPr>
      <w:r>
        <w:rPr>
          <w:rFonts w:ascii="Avenir Next LT Pro" w:hAnsi="Avenir Next LT Pro"/>
          <w:b w:val="0"/>
          <w:i w:val="0"/>
          <w:color w:val="1C4076"/>
          <w:sz w:val="22"/>
        </w:rPr>
        <w:t>•</w:t>
        <w:tab/>
        <w:t>Changes to financial guidance previously communicated to the market.</w:t>
      </w:r>
    </w:p>
    <w:p>
      <w:pPr>
        <w:tabs>
          <w:tab w:pos="1416" w:val="left"/>
        </w:tabs>
        <w:spacing w:after="160"/>
        <w:ind w:left="1416" w:hanging="708"/>
      </w:pPr>
      <w:r>
        <w:rPr>
          <w:rFonts w:ascii="Avenir Next LT Pro" w:hAnsi="Avenir Next LT Pro"/>
          <w:b w:val="0"/>
          <w:i w:val="0"/>
          <w:color w:val="1C4076"/>
          <w:sz w:val="22"/>
        </w:rPr>
        <w:t>•</w:t>
        <w:tab/>
        <w:t>Financial results outside previously communicated guidance.</w:t>
      </w:r>
    </w:p>
    <w:p>
      <w:pPr>
        <w:tabs>
          <w:tab w:pos="1416" w:val="left"/>
        </w:tabs>
        <w:spacing w:after="160"/>
        <w:ind w:left="1416" w:hanging="708"/>
      </w:pPr>
      <w:r>
        <w:rPr>
          <w:rFonts w:ascii="Avenir Next LT Pro" w:hAnsi="Avenir Next LT Pro"/>
          <w:b w:val="0"/>
          <w:i w:val="0"/>
          <w:color w:val="1C4076"/>
          <w:sz w:val="22"/>
        </w:rPr>
        <w:t>•</w:t>
        <w:tab/>
        <w:t>Material amendments to the Company’s strategy plan.</w:t>
      </w:r>
    </w:p>
    <w:p>
      <w:pPr>
        <w:tabs>
          <w:tab w:pos="1416" w:val="left"/>
        </w:tabs>
        <w:spacing w:after="160"/>
        <w:ind w:left="1416" w:hanging="708"/>
      </w:pPr>
      <w:r>
        <w:rPr>
          <w:rFonts w:ascii="Avenir Next LT Pro" w:hAnsi="Avenir Next LT Pro"/>
          <w:b w:val="0"/>
          <w:i w:val="0"/>
          <w:color w:val="1C4076"/>
          <w:sz w:val="22"/>
        </w:rPr>
        <w:t>•</w:t>
        <w:tab/>
        <w:t>Appointment and dismissal of the CEO and changes to the Chair of the Board of Directors.</w:t>
      </w:r>
    </w:p>
    <w:p>
      <w:pPr>
        <w:tabs>
          <w:tab w:pos="1416" w:val="left"/>
        </w:tabs>
        <w:spacing w:after="160"/>
        <w:ind w:left="1416" w:hanging="708"/>
      </w:pPr>
      <w:r>
        <w:rPr>
          <w:rFonts w:ascii="Avenir Next LT Pro" w:hAnsi="Avenir Next LT Pro"/>
          <w:b w:val="0"/>
          <w:i w:val="0"/>
          <w:color w:val="1C4076"/>
          <w:sz w:val="22"/>
        </w:rPr>
        <w:t>•</w:t>
        <w:tab/>
        <w:t>Entering into or termination of major contracts of a material size or strategic significance.</w:t>
      </w:r>
    </w:p>
    <w:p>
      <w:pPr>
        <w:tabs>
          <w:tab w:pos="1416" w:val="left"/>
        </w:tabs>
        <w:spacing w:after="160"/>
        <w:ind w:left="1416" w:hanging="708"/>
      </w:pPr>
      <w:r>
        <w:rPr>
          <w:rFonts w:ascii="Avenir Next LT Pro" w:hAnsi="Avenir Next LT Pro"/>
          <w:b w:val="0"/>
          <w:i w:val="0"/>
          <w:color w:val="1C4076"/>
          <w:sz w:val="22"/>
        </w:rPr>
        <w:t>•</w:t>
        <w:tab/>
        <w:t>Decisions regarding large investments.</w:t>
      </w:r>
    </w:p>
    <w:p>
      <w:pPr>
        <w:tabs>
          <w:tab w:pos="1416" w:val="left"/>
        </w:tabs>
        <w:spacing w:after="160"/>
        <w:ind w:left="1416" w:hanging="708"/>
      </w:pPr>
      <w:r>
        <w:rPr>
          <w:rFonts w:ascii="Avenir Next LT Pro" w:hAnsi="Avenir Next LT Pro"/>
          <w:b w:val="0"/>
          <w:i w:val="0"/>
          <w:color w:val="1C4076"/>
          <w:sz w:val="22"/>
        </w:rPr>
        <w:t>•</w:t>
        <w:tab/>
        <w:t>Entering into or termination of major cooperation agreements, including agreements regarding joint ventures.</w:t>
      </w:r>
    </w:p>
    <w:p>
      <w:pPr>
        <w:tabs>
          <w:tab w:pos="1416" w:val="left"/>
        </w:tabs>
        <w:spacing w:after="160"/>
        <w:ind w:left="1416" w:hanging="708"/>
      </w:pPr>
      <w:r>
        <w:rPr>
          <w:rFonts w:ascii="Avenir Next LT Pro" w:hAnsi="Avenir Next LT Pro"/>
          <w:b w:val="0"/>
          <w:i w:val="0"/>
          <w:color w:val="1C4076"/>
          <w:sz w:val="22"/>
        </w:rPr>
        <w:t>•</w:t>
        <w:tab/>
        <w:t>Significant changes in earnings or liquidity or other material matters that have or may have an effect thereon.</w:t>
      </w:r>
    </w:p>
    <w:p>
      <w:pPr>
        <w:tabs>
          <w:tab w:pos="1416" w:val="left"/>
        </w:tabs>
        <w:spacing w:after="160"/>
        <w:ind w:left="1416" w:hanging="708"/>
      </w:pPr>
      <w:r>
        <w:rPr>
          <w:rFonts w:ascii="Avenir Next LT Pro" w:hAnsi="Avenir Next LT Pro"/>
          <w:b w:val="0"/>
          <w:i w:val="0"/>
          <w:color w:val="1C4076"/>
          <w:sz w:val="22"/>
        </w:rPr>
        <w:t>•</w:t>
        <w:tab/>
        <w:t>Market fluctuations of special significance for the Company.</w:t>
      </w:r>
    </w:p>
    <w:p>
      <w:pPr>
        <w:tabs>
          <w:tab w:pos="1416" w:val="left"/>
        </w:tabs>
        <w:spacing w:after="160"/>
        <w:ind w:left="1416" w:hanging="708"/>
      </w:pPr>
      <w:r>
        <w:rPr>
          <w:rFonts w:ascii="Avenir Next LT Pro" w:hAnsi="Avenir Next LT Pro"/>
          <w:b w:val="0"/>
          <w:i w:val="0"/>
          <w:color w:val="1C4076"/>
          <w:sz w:val="22"/>
        </w:rPr>
        <w:t>•</w:t>
        <w:tab/>
        <w:t>Transfer of a major shareholding in the Company or the intention to acquire or sell among major shareholders, which the Board of Directors or the Executive Management are involved in or have knowledge of.</w:t>
      </w:r>
    </w:p>
    <w:p>
      <w:pPr>
        <w:tabs>
          <w:tab w:pos="1416" w:val="left"/>
        </w:tabs>
        <w:spacing w:after="160"/>
        <w:ind w:left="1416" w:hanging="708"/>
      </w:pPr>
      <w:r>
        <w:rPr>
          <w:rFonts w:ascii="Avenir Next LT Pro" w:hAnsi="Avenir Next LT Pro"/>
          <w:b w:val="0"/>
          <w:i w:val="0"/>
          <w:color w:val="1C4076"/>
          <w:sz w:val="22"/>
        </w:rPr>
        <w:t>•</w:t>
        <w:tab/>
        <w:t>Submission of acquisition offers or public takeover offers.</w:t>
      </w:r>
    </w:p>
    <w:p>
      <w:pPr>
        <w:tabs>
          <w:tab w:pos="1416" w:val="left"/>
        </w:tabs>
        <w:spacing w:after="160"/>
        <w:ind w:left="1416" w:hanging="708"/>
      </w:pPr>
      <w:r>
        <w:rPr>
          <w:rFonts w:ascii="Avenir Next LT Pro" w:hAnsi="Avenir Next LT Pro"/>
          <w:b w:val="0"/>
          <w:i w:val="0"/>
          <w:color w:val="1C4076"/>
          <w:sz w:val="22"/>
        </w:rPr>
        <w:t>•</w:t>
        <w:tab/>
        <w:t>Initiation or settlement of material law suits initiated by or against the Company or corresponding material claims.</w:t>
      </w:r>
    </w:p>
    <w:p>
      <w:pPr>
        <w:tabs>
          <w:tab w:pos="1416" w:val="left"/>
        </w:tabs>
        <w:spacing w:after="160"/>
        <w:ind w:left="1416" w:hanging="708"/>
      </w:pPr>
      <w:r>
        <w:rPr>
          <w:rFonts w:ascii="Avenir Next LT Pro" w:hAnsi="Avenir Next LT Pro"/>
          <w:b w:val="0"/>
          <w:i w:val="0"/>
          <w:color w:val="1C4076"/>
          <w:sz w:val="22"/>
        </w:rPr>
        <w:t>•</w:t>
        <w:tab/>
        <w:t>Decisions of material significance made by public authorities or courts.</w:t>
      </w:r>
    </w:p>
    <w:p>
      <w:pPr>
        <w:tabs>
          <w:tab w:pos="1416" w:val="left"/>
        </w:tabs>
        <w:spacing w:after="160"/>
        <w:ind w:left="1416" w:hanging="708"/>
      </w:pPr>
      <w:r>
        <w:rPr>
          <w:rFonts w:ascii="Avenir Next LT Pro" w:hAnsi="Avenir Next LT Pro"/>
          <w:b w:val="0"/>
          <w:i w:val="0"/>
          <w:color w:val="1C4076"/>
          <w:sz w:val="22"/>
        </w:rPr>
        <w:t>•</w:t>
        <w:tab/>
        <w:t>Proposals for capital decreases or capital increases as well as any other material proposed amendments of the articles of association.</w:t>
      </w:r>
    </w:p>
    <w:p>
      <w:pPr>
        <w:tabs>
          <w:tab w:pos="1416" w:val="left"/>
        </w:tabs>
        <w:spacing w:after="160"/>
        <w:ind w:left="1416" w:hanging="708"/>
      </w:pPr>
      <w:r>
        <w:rPr>
          <w:rFonts w:ascii="Avenir Next LT Pro" w:hAnsi="Avenir Next LT Pro"/>
          <w:b w:val="0"/>
          <w:i w:val="0"/>
          <w:color w:val="1C4076"/>
          <w:sz w:val="22"/>
        </w:rPr>
        <w:t>•</w:t>
        <w:tab/>
        <w:t>Proposals for extraordinary dividend payments as well as the introduction of share buy-back programs.</w:t>
      </w:r>
    </w:p>
    <w:p>
      <w:pPr>
        <w:tabs>
          <w:tab w:pos="1416" w:val="left"/>
        </w:tabs>
        <w:spacing w:after="160"/>
        <w:ind w:left="1416" w:hanging="708"/>
      </w:pPr>
      <w:r>
        <w:rPr>
          <w:rFonts w:ascii="Avenir Next LT Pro" w:hAnsi="Avenir Next LT Pro"/>
          <w:b w:val="0"/>
          <w:i w:val="0"/>
          <w:color w:val="1C4076"/>
          <w:sz w:val="22"/>
        </w:rPr>
        <w:t>•</w:t>
        <w:tab/>
        <w:t>Material organisational or structural changes to the Company, including, but not limited to, mergers, demergers, dissolution or reconstruction arrangements or other significant changes to the business or capital structures including suspension of payments, bankruptcy or liquidation.</w:t>
      </w:r>
    </w:p>
    <w:p>
      <w:pPr>
        <w:tabs>
          <w:tab w:pos="1416" w:val="left"/>
        </w:tabs>
        <w:spacing w:after="160"/>
        <w:ind w:left="1416" w:hanging="708"/>
      </w:pPr>
      <w:r>
        <w:rPr>
          <w:rFonts w:ascii="Avenir Next LT Pro" w:hAnsi="Avenir Next LT Pro"/>
          <w:b w:val="0"/>
          <w:i w:val="0"/>
          <w:color w:val="1C4076"/>
          <w:sz w:val="22"/>
        </w:rPr>
        <w:t>•</w:t>
        <w:tab/>
        <w:t>Shareholders’ agreements which the Company obtains knowledge of concerning application of voting rights or the transferability of the Shares or related Financial Instruments.</w:t>
      </w:r>
    </w:p>
    <w:p>
      <w:pPr>
        <w:tabs>
          <w:tab w:pos="1416" w:val="left"/>
        </w:tabs>
        <w:spacing w:after="280"/>
        <w:ind w:left="1416" w:hanging="708"/>
      </w:pPr>
      <w:r>
        <w:rPr>
          <w:rFonts w:ascii="Avenir Next LT Pro" w:hAnsi="Avenir Next LT Pro"/>
          <w:b w:val="0"/>
          <w:i w:val="0"/>
          <w:color w:val="1C4076"/>
          <w:sz w:val="22"/>
        </w:rPr>
        <w:t>•</w:t>
        <w:tab/>
        <w:t>Information regarding similar material circumstances in material subsidiaries.</w:t>
      </w:r>
    </w:p>
    <w:p>
      <w:pPr>
        <w:spacing w:after="200"/>
        <w:jc w:val="both"/>
      </w:pPr>
      <w:r>
        <w:rPr>
          <w:rFonts w:ascii="Avenir Next LT Pro" w:hAnsi="Avenir Next LT Pro"/>
          <w:b w:val="0"/>
          <w:i w:val="0"/>
          <w:color w:val="1C4076"/>
          <w:sz w:val="22"/>
        </w:rPr>
        <w:t>The above items are not listed in any particular order, and they are only to be considered as guiding examples, and the list is not exhaustive. Knowledge of other circumstances may also constitute Inside Information, if such information is specific and, if such information is disclosed, would be likely to have a significant effect on the prices of Financial Instruments.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Internal Rules for Compliance with Disclosure Obligations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