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616o1n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88" w:val="left"/>
        </w:tabs>
        <w:spacing w:before="260" w:after="160"/>
        <w:ind w:left="788" w:hanging="788"/>
      </w:pPr>
      <w:r>
        <w:rPr>
          <w:rFonts w:ascii="Avenir Next LT Pro" w:hAnsi="Avenir Next LT Pro"/>
          <w:b/>
          <w:i w:val="0"/>
          <w:color w:val="1C4076"/>
          <w:sz w:val="28"/>
        </w:rPr>
        <w:t>1</w:t>
        <w:tab/>
        <w:t>Introduction</w:t>
      </w:r>
    </w:p>
    <w:p>
      <w:pPr>
        <w:tabs>
          <w:tab w:pos="788" w:val="left"/>
        </w:tabs>
        <w:spacing w:after="200"/>
        <w:ind w:left="788" w:hanging="788"/>
        <w:jc w:val="both"/>
      </w:pPr>
      <w:r>
        <w:rPr>
          <w:rFonts w:ascii="Avenir Next LT Pro" w:hAnsi="Avenir Next LT Pro"/>
          <w:b w:val="0"/>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val="0"/>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tabs>
          <w:tab w:pos="788" w:val="left"/>
        </w:tabs>
        <w:spacing w:before="260" w:after="160"/>
        <w:ind w:left="788" w:hanging="788"/>
      </w:pPr>
      <w:r>
        <w:rPr>
          <w:rFonts w:ascii="Avenir Next LT Pro" w:hAnsi="Avenir Next LT Pro"/>
          <w:b/>
          <w:i w:val="0"/>
          <w:color w:val="1C4076"/>
          <w:sz w:val="28"/>
        </w:rPr>
        <w:t>2</w:t>
        <w:tab/>
        <w:t>Objectives</w:t>
      </w:r>
    </w:p>
    <w:p>
      <w:pPr>
        <w:tabs>
          <w:tab w:pos="788" w:val="left"/>
        </w:tabs>
        <w:spacing w:after="200"/>
        <w:ind w:left="788" w:hanging="788"/>
        <w:jc w:val="both"/>
      </w:pPr>
      <w:r>
        <w:rPr>
          <w:rFonts w:ascii="Avenir Next LT Pro" w:hAnsi="Avenir Next LT Pro"/>
          <w:b w:val="0"/>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val="0"/>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tabs>
          <w:tab w:pos="788" w:val="left"/>
        </w:tabs>
        <w:spacing w:before="260" w:after="160"/>
        <w:ind w:left="788" w:hanging="788"/>
      </w:pPr>
      <w:r>
        <w:rPr>
          <w:rFonts w:ascii="Avenir Next LT Pro" w:hAnsi="Avenir Next LT Pro"/>
          <w:b/>
          <w:i w:val="0"/>
          <w:color w:val="1C4076"/>
          <w:sz w:val="28"/>
        </w:rPr>
        <w:t>3</w:t>
        <w:tab/>
        <w:t>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val="0"/>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val="0"/>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val="0"/>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val="0"/>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val="0"/>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tabs>
          <w:tab w:pos="788" w:val="left"/>
        </w:tabs>
        <w:spacing w:before="260" w:after="160"/>
        <w:ind w:left="788" w:hanging="788"/>
      </w:pPr>
      <w:r>
        <w:rPr>
          <w:rFonts w:ascii="Avenir Next LT Pro" w:hAnsi="Avenir Next LT Pro"/>
          <w:b/>
          <w:i w:val="0"/>
          <w:color w:val="1C4076"/>
          <w:sz w:val="28"/>
        </w:rPr>
        <w:t>4</w:t>
        <w:tab/>
        <w:t>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val="0"/>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val="0"/>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val="0"/>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val="0"/>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val="0"/>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val="0"/>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val="0"/>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val="0"/>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val="0"/>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val="0"/>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val="0"/>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val="0"/>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val="0"/>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val="0"/>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val="0"/>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val="0"/>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val="0"/>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val="0"/>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val="0"/>
          <w:i w:val="0"/>
          <w:color w:val="1C4076"/>
          <w:sz w:val="22"/>
        </w:rPr>
        <w:t>4.3.5.4</w:t>
        <w:tab/>
      </w:r>
      <w:r>
        <w:rPr>
          <w:rFonts w:ascii="Avenir Next LT Pro" w:hAnsi="Avenir Next LT Pro"/>
          <w:b w:val="0"/>
          <w:i/>
          <w:color w:val="1C4076"/>
          <w:sz w:val="22"/>
        </w:rPr>
        <w:t>Cash-based long-term incentive</w:t>
      </w:r>
    </w:p>
    <w:p>
      <w:pPr>
        <w:tabs>
          <w:tab w:pos="1577" w:val="left"/>
        </w:tabs>
        <w:spacing w:after="80"/>
        <w:ind w:left="1577"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1577" w:val="left"/>
        </w:tabs>
        <w:spacing w:after="80"/>
        <w:ind w:left="1577"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1577" w:val="left"/>
        </w:tabs>
        <w:spacing w:after="80"/>
        <w:ind w:left="1577"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1577" w:val="left"/>
        </w:tabs>
        <w:spacing w:after="80"/>
        <w:ind w:left="1577"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val="0"/>
          <w:i w:val="0"/>
          <w:color w:val="1C4076"/>
          <w:sz w:val="22"/>
        </w:rPr>
        <w:t>4.3.5.5</w:t>
        <w:tab/>
      </w:r>
      <w:r>
        <w:rPr>
          <w:rFonts w:ascii="Avenir Next LT Pro" w:hAnsi="Avenir Next LT Pro"/>
          <w:b w:val="0"/>
          <w:i/>
          <w:color w:val="1C4076"/>
          <w:sz w:val="22"/>
        </w:rPr>
        <w:t>Share based long-term incentives</w:t>
      </w:r>
    </w:p>
    <w:p>
      <w:pPr>
        <w:tabs>
          <w:tab w:pos="1577" w:val="left"/>
        </w:tabs>
        <w:spacing w:after="80"/>
        <w:ind w:left="1577"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1577" w:val="left"/>
        </w:tabs>
        <w:spacing w:after="80"/>
        <w:ind w:left="1577"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1577" w:val="left"/>
        </w:tabs>
        <w:spacing w:after="80"/>
        <w:ind w:left="1577"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1577" w:val="left"/>
        </w:tabs>
        <w:spacing w:after="80"/>
        <w:ind w:left="1577"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1577" w:val="left"/>
        </w:tabs>
        <w:spacing w:after="80"/>
        <w:ind w:left="1577"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val="0"/>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val="0"/>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val="0"/>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val="0"/>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val="0"/>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val="0"/>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val="0"/>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tabs>
          <w:tab w:pos="788" w:val="left"/>
        </w:tabs>
        <w:spacing w:before="260" w:after="160"/>
        <w:ind w:left="788" w:hanging="788"/>
      </w:pPr>
      <w:r>
        <w:rPr>
          <w:rFonts w:ascii="Avenir Next LT Pro" w:hAnsi="Avenir Next LT Pro"/>
          <w:b/>
          <w:i w:val="0"/>
          <w:color w:val="1C4076"/>
          <w:sz w:val="28"/>
        </w:rPr>
        <w:t>5</w:t>
        <w:tab/>
        <w:t>Service agreements</w:t>
      </w:r>
    </w:p>
    <w:p>
      <w:pPr>
        <w:tabs>
          <w:tab w:pos="788" w:val="left"/>
        </w:tabs>
        <w:spacing w:after="200"/>
        <w:ind w:left="788" w:hanging="788"/>
        <w:jc w:val="both"/>
      </w:pPr>
      <w:r>
        <w:rPr>
          <w:rFonts w:ascii="Avenir Next LT Pro" w:hAnsi="Avenir Next LT Pro"/>
          <w:b w:val="0"/>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val="0"/>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tabs>
          <w:tab w:pos="788" w:val="left"/>
        </w:tabs>
        <w:spacing w:before="260" w:after="160"/>
        <w:ind w:left="788" w:hanging="788"/>
      </w:pPr>
      <w:r>
        <w:rPr>
          <w:rFonts w:ascii="Avenir Next LT Pro" w:hAnsi="Avenir Next LT Pro"/>
          <w:b/>
          <w:i w:val="0"/>
          <w:color w:val="1C4076"/>
          <w:sz w:val="28"/>
        </w:rPr>
        <w:t>6</w:t>
        <w:tab/>
        <w:t>D&amp;O insurance and indemnification</w:t>
      </w:r>
    </w:p>
    <w:p>
      <w:pPr>
        <w:tabs>
          <w:tab w:pos="788" w:val="left"/>
        </w:tabs>
        <w:spacing w:after="200"/>
        <w:ind w:left="788" w:hanging="78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val="0"/>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tabs>
          <w:tab w:pos="788" w:val="left"/>
        </w:tabs>
        <w:spacing w:before="260" w:after="160"/>
        <w:ind w:left="788" w:hanging="788"/>
      </w:pPr>
      <w:r>
        <w:rPr>
          <w:rFonts w:ascii="Avenir Next LT Pro" w:hAnsi="Avenir Next LT Pro"/>
          <w:b/>
          <w:i w:val="0"/>
          <w:color w:val="1C4076"/>
          <w:sz w:val="28"/>
        </w:rPr>
        <w:t>7</w:t>
        <w:tab/>
        <w:t>Deviations</w:t>
      </w:r>
    </w:p>
    <w:p>
      <w:pPr>
        <w:tabs>
          <w:tab w:pos="788" w:val="left"/>
        </w:tabs>
        <w:spacing w:after="200"/>
        <w:ind w:left="788" w:hanging="788"/>
        <w:jc w:val="both"/>
      </w:pPr>
      <w:r>
        <w:rPr>
          <w:rFonts w:ascii="Avenir Next LT Pro" w:hAnsi="Avenir Next LT Pro"/>
          <w:b w:val="0"/>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val="0"/>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tabs>
          <w:tab w:pos="788" w:val="left"/>
        </w:tabs>
        <w:spacing w:before="260" w:after="160"/>
        <w:ind w:left="788" w:hanging="788"/>
      </w:pPr>
      <w:r>
        <w:rPr>
          <w:rFonts w:ascii="Avenir Next LT Pro" w:hAnsi="Avenir Next LT Pro"/>
          <w:b/>
          <w:i w:val="0"/>
          <w:color w:val="1C4076"/>
          <w:sz w:val="28"/>
        </w:rPr>
        <w:t>8</w:t>
        <w:tab/>
        <w:t>Remuneration to the Company’s other employees</w:t>
      </w:r>
    </w:p>
    <w:p>
      <w:pPr>
        <w:tabs>
          <w:tab w:pos="788" w:val="left"/>
        </w:tabs>
        <w:spacing w:after="200"/>
        <w:ind w:left="788" w:hanging="788"/>
        <w:jc w:val="both"/>
      </w:pPr>
      <w:r>
        <w:rPr>
          <w:rFonts w:ascii="Avenir Next LT Pro" w:hAnsi="Avenir Next LT Pro"/>
          <w:b w:val="0"/>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val="0"/>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tabs>
          <w:tab w:pos="788" w:val="left"/>
        </w:tabs>
        <w:spacing w:before="260" w:after="160"/>
        <w:ind w:left="788" w:hanging="788"/>
      </w:pPr>
      <w:r>
        <w:rPr>
          <w:rFonts w:ascii="Avenir Next LT Pro" w:hAnsi="Avenir Next LT Pro"/>
          <w:b/>
          <w:i w:val="0"/>
          <w:color w:val="1C4076"/>
          <w:sz w:val="28"/>
        </w:rPr>
        <w:t>9</w:t>
        <w:tab/>
        <w:t>Approval process and conflicts of interest</w:t>
      </w:r>
    </w:p>
    <w:p>
      <w:pPr>
        <w:tabs>
          <w:tab w:pos="788" w:val="left"/>
        </w:tabs>
        <w:spacing w:after="200"/>
        <w:ind w:left="788" w:hanging="788"/>
        <w:jc w:val="both"/>
      </w:pPr>
      <w:r>
        <w:rPr>
          <w:rFonts w:ascii="Avenir Next LT Pro" w:hAnsi="Avenir Next LT Pro"/>
          <w:b w:val="0"/>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val="0"/>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tabs>
          <w:tab w:pos="788" w:val="left"/>
        </w:tabs>
        <w:spacing w:before="260" w:after="160"/>
        <w:ind w:left="788" w:hanging="788"/>
      </w:pPr>
      <w:r>
        <w:rPr>
          <w:rFonts w:ascii="Avenir Next LT Pro" w:hAnsi="Avenir Next LT Pro"/>
          <w:b/>
          <w:i w:val="0"/>
          <w:color w:val="1C4076"/>
          <w:sz w:val="28"/>
        </w:rPr>
        <w:t>10</w:t>
        <w:tab/>
        <w:t>Remuneration report</w:t>
      </w:r>
    </w:p>
    <w:p>
      <w:pPr>
        <w:tabs>
          <w:tab w:pos="788" w:val="left"/>
        </w:tabs>
        <w:spacing w:after="200"/>
        <w:ind w:left="788" w:hanging="788"/>
        <w:jc w:val="both"/>
      </w:pPr>
      <w:r>
        <w:rPr>
          <w:rFonts w:ascii="Avenir Next LT Pro" w:hAnsi="Avenir Next LT Pro"/>
          <w:b w:val="0"/>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tabs>
          <w:tab w:pos="788" w:val="left"/>
        </w:tabs>
        <w:spacing w:before="260" w:after="160"/>
        <w:ind w:left="788" w:hanging="788"/>
      </w:pPr>
      <w:r>
        <w:rPr>
          <w:rFonts w:ascii="Avenir Next LT Pro" w:hAnsi="Avenir Next LT Pro"/>
          <w:b/>
          <w:i w:val="0"/>
          <w:color w:val="1C4076"/>
          <w:sz w:val="28"/>
        </w:rPr>
        <w:t>11</w:t>
        <w:tab/>
        <w:t>Adoption and publication</w:t>
      </w:r>
    </w:p>
    <w:p>
      <w:pPr>
        <w:tabs>
          <w:tab w:pos="788" w:val="left"/>
        </w:tabs>
        <w:spacing w:after="200"/>
        <w:ind w:left="788" w:hanging="788"/>
        <w:jc w:val="both"/>
      </w:pPr>
      <w:r>
        <w:rPr>
          <w:rFonts w:ascii="Avenir Next LT Pro" w:hAnsi="Avenir Next LT Pro"/>
          <w:b w:val="0"/>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