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pcs86g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BioMar Group – Statement on Corporate Governance</w:t>
      </w:r>
    </w:p>
    <w:p>
      <w:pPr>
        <w:spacing w:after="200"/>
        <w:jc w:val="both"/>
      </w:pPr>
      <w:r>
        <w:rPr>
          <w:rFonts w:ascii="Avenir Next LT Pro" w:hAnsi="Avenir Next LT Pro"/>
          <w:b w:val="0"/>
          <w:color w:val="1C4076"/>
          <w:sz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p>
    <w:p>
      <w:pPr>
        <w:spacing w:after="200"/>
        <w:jc w:val="both"/>
      </w:pPr>
      <w:r>
        <w:rPr>
          <w:rFonts w:ascii="Avenir Next LT Pro" w:hAnsi="Avenir Next LT Pro"/>
          <w:b w:val="0"/>
          <w:color w:val="1C4076"/>
          <w:sz w:val="22"/>
        </w:rPr>
        <w:t>Adopted by the Board of Directors of BioMar Group A/S on 19 May 2026.</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Recommendation</w:t>
            </w:r>
          </w:p>
        </w:tc>
        <w:tc>
          <w:tcPr>
            <w:tcW w:type="dxa" w:w="2551"/>
            <w:shd w:val="clear" w:fill="1C4076"/>
          </w:tcPr>
          <w:p>
            <w:r/>
            <w:r>
              <w:rPr>
                <w:rFonts w:ascii="Avenir Next LT Pro" w:hAnsi="Avenir Next LT Pro"/>
                <w:b/>
                <w:color w:val="FFFFFF"/>
                <w:sz w:val="17"/>
              </w:rPr>
              <w:t>Complies</w:t>
            </w:r>
          </w:p>
        </w:tc>
        <w:tc>
          <w:tcPr>
            <w:tcW w:type="dxa" w:w="2551"/>
            <w:shd w:val="clear" w:fill="1C4076"/>
          </w:tcPr>
          <w:p>
            <w:r/>
            <w:r>
              <w:rPr>
                <w:rFonts w:ascii="Avenir Next LT Pro" w:hAnsi="Avenir Next LT Pro"/>
                <w:b/>
                <w:color w:val="FFFFFF"/>
                <w:sz w:val="17"/>
              </w:rPr>
              <w:t>Explains</w:t>
            </w:r>
          </w:p>
        </w:tc>
        <w:tc>
          <w:tcPr>
            <w:tcW w:type="dxa" w:w="2551"/>
            <w:shd w:val="clear" w:fill="1C4076"/>
          </w:tcPr>
          <w:p>
            <w:r/>
            <w:r>
              <w:rPr>
                <w:rFonts w:ascii="Avenir Next LT Pro" w:hAnsi="Avenir Next LT Pro"/>
                <w:b/>
                <w:color w:val="FFFFFF"/>
                <w:sz w:val="17"/>
              </w:rPr>
              <w:t>Explains</w:t>
            </w:r>
          </w:p>
        </w:tc>
      </w:tr>
      <w:tr>
        <w:tc>
          <w:tcPr>
            <w:tcW w:type="dxa" w:w="2551"/>
          </w:tcPr>
          <w:p>
            <w:r/>
            <w:r>
              <w:rPr>
                <w:rFonts w:ascii="Avenir Next LT Pro" w:hAnsi="Avenir Next LT Pro"/>
                <w:b w:val="0"/>
                <w:color w:val="1C4076"/>
                <w:sz w:val="17"/>
              </w:rPr>
              <w:t>Recommendation</w:t>
            </w:r>
          </w:p>
        </w:tc>
        <w:tc>
          <w:tcPr>
            <w:tcW w:type="dxa" w:w="2551"/>
          </w:tcPr>
          <w:p>
            <w:r/>
            <w:r>
              <w:rPr>
                <w:rFonts w:ascii="Avenir Next LT Pro" w:hAnsi="Avenir Next LT Pro"/>
                <w:b w:val="0"/>
                <w:color w:val="1C4076"/>
                <w:sz w:val="17"/>
              </w:rPr>
              <w:t>Complies</w:t>
            </w:r>
          </w:p>
        </w:tc>
        <w:tc>
          <w:tcPr>
            <w:tcW w:type="dxa" w:w="2551"/>
          </w:tcPr>
          <w:p>
            <w:r/>
            <w:r>
              <w:rPr>
                <w:rFonts w:ascii="Avenir Next LT Pro" w:hAnsi="Avenir Next LT Pro"/>
                <w:b w:val="0"/>
                <w:color w:val="1C4076"/>
                <w:sz w:val="17"/>
              </w:rPr>
              <w:t>Why</w:t>
            </w:r>
          </w:p>
        </w:tc>
        <w:tc>
          <w:tcPr>
            <w:tcW w:type="dxa" w:w="2551"/>
          </w:tcPr>
          <w:p>
            <w:r/>
            <w:r>
              <w:rPr>
                <w:rFonts w:ascii="Avenir Next LT Pro" w:hAnsi="Avenir Next LT Pro"/>
                <w:b w:val="0"/>
                <w:color w:val="1C4076"/>
                <w:sz w:val="17"/>
              </w:rPr>
              <w:t>How</w:t>
            </w:r>
          </w:p>
        </w:tc>
      </w:tr>
      <w:tr>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c>
          <w:tcPr>
            <w:tcW w:type="dxa" w:w="2551"/>
          </w:tcPr>
          <w:p>
            <w:r/>
            <w:r>
              <w:rPr>
                <w:rFonts w:ascii="Avenir Next LT Pro" w:hAnsi="Avenir Next LT Pro"/>
                <w:b w:val="0"/>
                <w:color w:val="1C4076"/>
                <w:sz w:val="17"/>
              </w:rPr>
              <w:t>1. Interaction with the company’s shareholders, investors and other stakeholders</w:t>
            </w:r>
          </w:p>
        </w:tc>
      </w:tr>
      <w:tr>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c>
          <w:tcPr>
            <w:tcW w:type="dxa" w:w="2551"/>
          </w:tcPr>
          <w:p>
            <w:r/>
            <w:r>
              <w:rPr>
                <w:rFonts w:ascii="Avenir Next LT Pro" w:hAnsi="Avenir Next LT Pro"/>
                <w:b w:val="0"/>
                <w:color w:val="1C4076"/>
                <w:sz w:val="17"/>
              </w:rPr>
              <w:t>1.1. Communication with the company’s shareholders, investors and other stakeholders</w:t>
            </w:r>
          </w:p>
        </w:tc>
      </w:tr>
      <w:tr>
        <w:tc>
          <w:tcPr>
            <w:tcW w:type="dxa" w:w="2551"/>
          </w:tcPr>
          <w:p>
            <w:r/>
            <w:r>
              <w:rPr>
                <w:rFonts w:ascii="Avenir Next LT Pro" w:hAnsi="Avenir Next LT Pro"/>
                <w:b w:val="0"/>
                <w:color w:val="1C4076"/>
                <w:sz w:val="17"/>
              </w:rPr>
              <w:t>1.1.1. The Committee recommends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1.1.2. The Committee recommends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1.1.3. The Committee recommends that the company publishes quarterly reports.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c>
          <w:tcPr>
            <w:tcW w:type="dxa" w:w="2551"/>
          </w:tcPr>
          <w:p>
            <w:r/>
            <w:r>
              <w:rPr>
                <w:rFonts w:ascii="Avenir Next LT Pro" w:hAnsi="Avenir Next LT Pro"/>
                <w:b w:val="0"/>
                <w:color w:val="1C4076"/>
                <w:sz w:val="17"/>
              </w:rPr>
              <w:t>1.2. The general meeting</w:t>
            </w:r>
          </w:p>
        </w:tc>
      </w:tr>
      <w:tr>
        <w:tc>
          <w:tcPr>
            <w:tcW w:type="dxa" w:w="2551"/>
          </w:tcPr>
          <w:p>
            <w:r/>
            <w:r>
              <w:rPr>
                <w:rFonts w:ascii="Avenir Next LT Pro" w:hAnsi="Avenir Next LT Pro"/>
                <w:b w:val="0"/>
                <w:color w:val="1C4076"/>
                <w:sz w:val="17"/>
              </w:rPr>
              <w:t>1.2.1. The Committee recommends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individual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c>
          <w:tcPr>
            <w:tcW w:type="dxa" w:w="2551"/>
          </w:tcPr>
          <w:p>
            <w:r/>
            <w:r>
              <w:rPr>
                <w:rFonts w:ascii="Avenir Next LT Pro" w:hAnsi="Avenir Next LT Pro"/>
                <w:b w:val="0"/>
                <w:color w:val="1C4076"/>
                <w:sz w:val="17"/>
              </w:rPr>
              <w:t>1.3. Takeover bids</w:t>
            </w:r>
          </w:p>
        </w:tc>
      </w:tr>
      <w:tr>
        <w:tc>
          <w:tcPr>
            <w:tcW w:type="dxa" w:w="2551"/>
          </w:tcPr>
          <w:p>
            <w:r/>
            <w:r>
              <w:rPr>
                <w:rFonts w:ascii="Avenir Next LT Pro" w:hAnsi="Avenir Next LT Pro"/>
                <w:b w:val="0"/>
                <w:color w:val="1C4076"/>
                <w:sz w:val="17"/>
              </w:rPr>
              <w:t>1.3.1. The Committee recommends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1.2.2. The Committee recommends that proxies and postal votes to be used at the general meeting enable the shareholders to consider each item on the agenda.</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c>
          <w:tcPr>
            <w:tcW w:type="dxa" w:w="2551"/>
          </w:tcPr>
          <w:p>
            <w:r/>
            <w:r>
              <w:rPr>
                <w:rFonts w:ascii="Avenir Next LT Pro" w:hAnsi="Avenir Next LT Pro"/>
                <w:b w:val="0"/>
                <w:color w:val="1C4076"/>
                <w:sz w:val="17"/>
              </w:rPr>
              <w:t>1.4. Corporate Social Responsibility</w:t>
            </w:r>
          </w:p>
        </w:tc>
      </w:tr>
      <w:tr>
        <w:tc>
          <w:tcPr>
            <w:tcW w:type="dxa" w:w="2551"/>
          </w:tcPr>
          <w:p>
            <w:r/>
            <w:r>
              <w:rPr>
                <w:rFonts w:ascii="Avenir Next LT Pro" w:hAnsi="Avenir Next LT Pro"/>
                <w:b w:val="0"/>
                <w:color w:val="1C4076"/>
                <w:sz w:val="17"/>
              </w:rPr>
              <w:t>1.4.1. The Committee recommends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1.4.2. The Committee recommends that the board of directors adopts a tax policy to be made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c>
          <w:tcPr>
            <w:tcW w:type="dxa" w:w="2551"/>
          </w:tcPr>
          <w:p>
            <w:r/>
            <w:r>
              <w:rPr>
                <w:rFonts w:ascii="Avenir Next LT Pro" w:hAnsi="Avenir Next LT Pro"/>
                <w:b w:val="0"/>
                <w:color w:val="1C4076"/>
                <w:sz w:val="17"/>
              </w:rPr>
              <w:t>2. The duties and responsibilities of the board of directors</w:t>
            </w:r>
          </w:p>
        </w:tc>
      </w:tr>
      <w:tr>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c>
          <w:tcPr>
            <w:tcW w:type="dxa" w:w="2551"/>
          </w:tcPr>
          <w:p>
            <w:r/>
            <w:r>
              <w:rPr>
                <w:rFonts w:ascii="Avenir Next LT Pro" w:hAnsi="Avenir Next LT Pro"/>
                <w:b w:val="0"/>
                <w:color w:val="1C4076"/>
                <w:sz w:val="17"/>
              </w:rPr>
              <w:t>2.1. Overall tasks and responsibilities</w:t>
            </w:r>
          </w:p>
        </w:tc>
      </w:tr>
      <w:tr>
        <w:tc>
          <w:tcPr>
            <w:tcW w:type="dxa" w:w="2551"/>
          </w:tcPr>
          <w:p>
            <w:r/>
            <w:r>
              <w:rPr>
                <w:rFonts w:ascii="Avenir Next LT Pro" w:hAnsi="Avenir Next LT Pro"/>
                <w:b w:val="0"/>
                <w:color w:val="1C4076"/>
                <w:sz w:val="17"/>
              </w:rPr>
              <w:t>2.1.1. The Committee recommends that the board of directors in support of the company’s statutory objects according to its articles of association and the long-term value creation considers the company’s purpose and ensures and promotes a good culture and sound values in the company. The company should provide an account thereof in the management commentary and/or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2.1.2. The Committee recommends that the board of directors at least once a year discusses and on a regular basis follows up on the company’s overall strategic targets in order to ensure the value creation in the company.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2.1.3. The Committee recommends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2.1.4. The Committee recommends that the board of directors prepares and on an annual basis reviews guidelines for the executive management, including requirements in respect of the reporting to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c>
          <w:tcPr>
            <w:tcW w:type="dxa" w:w="2551"/>
          </w:tcPr>
          <w:p>
            <w:r/>
            <w:r>
              <w:rPr>
                <w:rFonts w:ascii="Avenir Next LT Pro" w:hAnsi="Avenir Next LT Pro"/>
                <w:b w:val="0"/>
                <w:color w:val="1C4076"/>
                <w:sz w:val="17"/>
              </w:rPr>
              <w:t>2.2. Members of the board of directors</w:t>
            </w:r>
          </w:p>
        </w:tc>
      </w:tr>
      <w:tr>
        <w:tc>
          <w:tcPr>
            <w:tcW w:type="dxa" w:w="2551"/>
          </w:tcPr>
          <w:p>
            <w:r/>
            <w:r>
              <w:rPr>
                <w:rFonts w:ascii="Avenir Next LT Pro" w:hAnsi="Avenir Next LT Pro"/>
                <w:b w:val="0"/>
                <w:color w:val="1C4076"/>
                <w:sz w:val="17"/>
              </w:rPr>
              <w:t>2.2.1. The Committee recommends that the board of directors, in addition to a chairperson, appoints a vice chairperson, who can step in if the chairperson is absent and who can generally act as the chairperson’s close sparring partner.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2.2.2. The Committee recommends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2.2.3. The Committee recommends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on allowing a member of the board of directors to take part in the daily management, including the expected duration thereof.</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c>
          <w:tcPr>
            <w:tcW w:type="dxa" w:w="2551"/>
          </w:tcPr>
          <w:p>
            <w:r/>
            <w:r>
              <w:rPr>
                <w:rFonts w:ascii="Avenir Next LT Pro" w:hAnsi="Avenir Next LT Pro"/>
                <w:b w:val="0"/>
                <w:color w:val="1C4076"/>
                <w:sz w:val="17"/>
              </w:rPr>
              <w:t>3. The composition, organisation and evaluation of the board of directors</w:t>
            </w:r>
          </w:p>
        </w:tc>
      </w:tr>
      <w:tr>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c>
          <w:tcPr>
            <w:tcW w:type="dxa" w:w="2551"/>
          </w:tcPr>
          <w:p>
            <w:r/>
            <w:r>
              <w:rPr>
                <w:rFonts w:ascii="Avenir Next LT Pro" w:hAnsi="Avenir Next LT Pro"/>
                <w:b w:val="0"/>
                <w:color w:val="1C4076"/>
                <w:sz w:val="17"/>
              </w:rPr>
              <w:t>3.1. Composition</w:t>
            </w:r>
          </w:p>
        </w:tc>
      </w:tr>
      <w:tr>
        <w:tc>
          <w:tcPr>
            <w:tcW w:type="dxa" w:w="2551"/>
          </w:tcPr>
          <w:p>
            <w:r/>
            <w:r>
              <w:rPr>
                <w:rFonts w:ascii="Avenir Next LT Pro" w:hAnsi="Avenir Next LT Pro"/>
                <w:b w:val="0"/>
                <w:color w:val="1C4076"/>
                <w:sz w:val="17"/>
              </w:rPr>
              <w:t xml:space="preserve">3.1.1. The Committee recommends that the board of directors on an annual basis reviews and in the management commentary and/or on the company’s website states </w:t>
              <w:br/>
              <w:t xml:space="preserve">which qualifications the board of directors should possess, collectively and individually, in order to perform its duties in the best possible manner, and </w:t>
              <w:br/>
              <w:t>the composition of and diversity on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3.1.2. The Committee recommends that the board of directors on an annual basis discusses the company’s activities in order to ensure relevant diversity at the different management levels of the company and adopts a diversity policy, which is included in the management commentary and/or available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3.1.3. The committee recommends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3.1.4. The Committee recommends that the notice convening general meetings, where election of members to the board of directors is on the agenda - in addition to the statutory items - also includes a description of the proposed candidates’</w:t>
              <w:br/>
              <w:t>qualifications,</w:t>
              <w:br/>
              <w:t xml:space="preserve">other managerial duties in commercial undertakings, including board committees, </w:t>
              <w:br/>
              <w:t>demanding organisational assignments and independence.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3.1.5. The Committee recommends that members to the board of directors elected by the general meeting stand for election every year at the annual general meeting, and that the members are nominated and elected individually.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c>
          <w:tcPr>
            <w:tcW w:type="dxa" w:w="2551"/>
          </w:tcPr>
          <w:p>
            <w:r/>
            <w:r>
              <w:rPr>
                <w:rFonts w:ascii="Avenir Next LT Pro" w:hAnsi="Avenir Next LT Pro"/>
                <w:b w:val="0"/>
                <w:color w:val="1C4076"/>
                <w:sz w:val="17"/>
              </w:rPr>
              <w:t>3.2. The board of director’s independence</w:t>
            </w:r>
          </w:p>
        </w:tc>
      </w:tr>
      <w:tr>
        <w:tc>
          <w:tcPr>
            <w:tcW w:type="dxa" w:w="2551"/>
          </w:tcPr>
          <w:p>
            <w:r/>
            <w:r>
              <w:rPr>
                <w:rFonts w:ascii="Avenir Next LT Pro" w:hAnsi="Avenir Next LT Pro"/>
                <w:b w:val="0"/>
                <w:color w:val="1C4076"/>
                <w:sz w:val="17"/>
              </w:rPr>
              <w:t>3.2.1. The Committee recommends that at least half of the members of the board of directors elected in general meeting are independent in order for the board of directors to be able to act independently avoiding conflicts of interests.</w:t>
              <w:br/>
              <w:t xml:space="preserve">In order to be independent, the member in question may not: </w:t>
              <w:br/>
              <w:t xml:space="preserve">be or within the past five years have been a member of the executive management or an executive employee in the company, a subsidiary or a group company, </w:t>
              <w:br/>
              <w:t>within the past five years have received large emoluments from the company/group, a subsidiary or a group company in another capacity than as member of the board of directors,</w:t>
              <w:br/>
              <w:t xml:space="preserve">represent or be associated with a controlling shareholder, </w:t>
              <w:br/>
              <w:t>within the past year have had a business relationship (e.g. personally or indirectly as a partner or an employee, shareholder, customer, supplier or member of a governing body in companies with similar relations) with the company, a subsidiary or a group company, which is significant for the company and/or the business relationship,</w:t>
              <w:br/>
              <w:t>be or within the past three years have been employed with or a partner in the same company as the company’s auditor elected in general meeting,</w:t>
              <w:br/>
              <w:t>be a CEO in a company with cross-memberships in the company’s management,</w:t>
              <w:br/>
              <w:t xml:space="preserve">have been a member of the board of directors for more than twelve years, or </w:t>
              <w:br/>
              <w:t>be closely related to persons, who are not independent, cf. the above-stated criteria.</w:t>
              <w:br/>
              <w:t>Even if a member of the board of directors does not fall within the above-stated criteria, the board of directors may for other reasons decide that the member in question is not independent.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3.2.2. The Committee recommends that members of the executive management are not members of the board of directors and that members retiring from the executive management does not join the board of directors immediately thereafter.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c>
          <w:tcPr>
            <w:tcW w:type="dxa" w:w="2551"/>
          </w:tcPr>
          <w:p>
            <w:r/>
            <w:r>
              <w:rPr>
                <w:rFonts w:ascii="Avenir Next LT Pro" w:hAnsi="Avenir Next LT Pro"/>
                <w:b w:val="0"/>
                <w:color w:val="1C4076"/>
                <w:sz w:val="17"/>
              </w:rPr>
              <w:t>3.3. Members of the board of directors and the number of other managerial duties</w:t>
            </w:r>
          </w:p>
        </w:tc>
      </w:tr>
      <w:tr>
        <w:tc>
          <w:tcPr>
            <w:tcW w:type="dxa" w:w="2551"/>
          </w:tcPr>
          <w:p>
            <w:r/>
            <w:r>
              <w:rPr>
                <w:rFonts w:ascii="Avenir Next LT Pro" w:hAnsi="Avenir Next LT Pro"/>
                <w:b w:val="0"/>
                <w:color w:val="1C4076"/>
                <w:sz w:val="17"/>
              </w:rPr>
              <w:t>3.3.1. The Committee recommends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3.3.2. The Committee recommends that the management commentary, in addition to the statutory requirements, contains the following information on the individual members of the board of directors:</w:t>
              <w:br/>
              <w:t xml:space="preserve">position, age and gender, </w:t>
              <w:br/>
              <w:t xml:space="preserve">competencies and qualifications relevant to the company, </w:t>
              <w:br/>
              <w:t>independence,</w:t>
              <w:br/>
              <w:t xml:space="preserve">year of joining the board of directors, </w:t>
              <w:br/>
              <w:t xml:space="preserve">year of expiry of the current election period, </w:t>
              <w:br/>
              <w:t xml:space="preserve">participation in meetings of the board of directors and committee meetings, </w:t>
              <w:br/>
              <w:t xml:space="preserve">managerial duties in other commercial undertakings, including board committees, and demanding organisational assignments, and </w:t>
              <w:br/>
              <w:t>the number of shares, options, warrants, etc. that the member holds in the company and its group companies and any changes in such holdings during the financial year.</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c>
          <w:tcPr>
            <w:tcW w:type="dxa" w:w="2551"/>
          </w:tcPr>
          <w:p>
            <w:r/>
            <w:r>
              <w:rPr>
                <w:rFonts w:ascii="Avenir Next LT Pro" w:hAnsi="Avenir Next LT Pro"/>
                <w:b w:val="0"/>
                <w:color w:val="1C4076"/>
                <w:sz w:val="17"/>
              </w:rPr>
              <w:t>3.4. Board committees</w:t>
            </w:r>
          </w:p>
        </w:tc>
      </w:tr>
      <w:tr>
        <w:tc>
          <w:tcPr>
            <w:tcW w:type="dxa" w:w="2551"/>
          </w:tcPr>
          <w:p>
            <w:r/>
            <w:r>
              <w:rPr>
                <w:rFonts w:ascii="Avenir Next LT Pro" w:hAnsi="Avenir Next LT Pro"/>
                <w:b w:val="0"/>
                <w:color w:val="1C4076"/>
                <w:sz w:val="17"/>
              </w:rPr>
              <w:t>3.4.1. The Committee recommends that the management describes in the management commentary:</w:t>
              <w:br/>
              <w:t xml:space="preserve">the board committees’ most significant activities and number of meetings in the past year, and </w:t>
              <w:br/>
              <w:t>the members on the individual board committees, including the chairperson and the independence of the members of the committee in question.</w:t>
              <w:br/>
              <w:t>In addition, it is recommended that the board committees’ terms of reference are published on the company’s website.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3.4.2. The Committee recommends that board committees solely consist of members of the board of directors and that the majority of the members of the board committees are independent.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The composition of the board committees is determined by the Board of Directors based on a number of criteria and considerations, including competences and capabilities as well as the Company’s shareholder composition.</w:t>
              <w:br/>
              <w:t>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tc>
        <w:tc>
          <w:tcPr>
            <w:tcW w:type="dxa" w:w="2551"/>
          </w:tcPr>
          <w:p>
            <w:r/>
            <w:r>
              <w:rPr>
                <w:rFonts w:ascii="Avenir Next LT Pro" w:hAnsi="Avenir Next LT Pro"/>
                <w:b w:val="0"/>
                <w:color w:val="1C4076"/>
                <w:sz w:val="17"/>
              </w:rPr>
              <w:t>The board committees consist solely of members of the Board of Directors.</w:t>
              <w:br/>
              <w:t xml:space="preserve">All members of the Audit Committee, including the chair of the Audit Committee, are considered independent. </w:t>
              <w:br/>
              <w:t>However, the majority of the members of the Remuneration and Nomination Committee are not considered independent as only one of two members is considered independent.</w:t>
            </w:r>
          </w:p>
        </w:tc>
      </w:tr>
      <w:tr>
        <w:tc>
          <w:tcPr>
            <w:tcW w:type="dxa" w:w="2551"/>
          </w:tcPr>
          <w:p>
            <w:r/>
            <w:r>
              <w:rPr>
                <w:rFonts w:ascii="Avenir Next LT Pro" w:hAnsi="Avenir Next LT Pro"/>
                <w:b w:val="0"/>
                <w:color w:val="1C4076"/>
                <w:sz w:val="17"/>
              </w:rPr>
              <w:t>3.4.3. The Committee recommends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br/>
              <w:t xml:space="preserve">supervising the correctness of the published financial information, including accounting practices in significant areas, significant accounting estimates and related party transactions, </w:t>
              <w:br/>
              <w:t xml:space="preserve">reviewing internal control and risk areas in order to ensure management of significant risks, including in relation to the announced financial outlook, </w:t>
              <w:br/>
              <w:t xml:space="preserve">assessing the need for internal audit, </w:t>
              <w:br/>
              <w:t xml:space="preserve">performing the evaluation of the auditor elected by the general meeting, </w:t>
              <w:br/>
              <w:t xml:space="preserve">reviewing the auditor fee for the auditor elected by the general meeting, </w:t>
              <w:br/>
              <w:t xml:space="preserve">supervising the scope of the non-audit services performed by the auditor elected by the general meeting, and </w:t>
              <w:br/>
              <w:t>ensuring regular interaction between the auditor elected by the general meeting and the board of directors, for instance, that the board of directors and the audit committee at least once a year meet with the auditor without the executive management being present.</w:t>
              <w:br/>
              <w:t>If the board of directors, based on a recommendation from the audit committee, decides to set up an internal audit function, the audit committee must:</w:t>
              <w:br/>
              <w:t xml:space="preserve">prepare terms of reference and recommendations on the nomination, employment and dismissal of the head of the internal audit function and on the budget for the department, </w:t>
              <w:br/>
              <w:t xml:space="preserve">ensure that the internal audit function has sufficient resources and competencies to perform its role, and </w:t>
              <w:br/>
              <w:t>supervise the executive management’s follow-up on the conclusions and recommendations of the internal audit function.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3.4.4. The Committee recommends that the board of directors establishes a nomination committee to perform at least the following preparatory tasks:</w:t>
              <w:br/>
              <w:t xml:space="preserve">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  </w:t>
              <w:br/>
              <w:t xml:space="preserve">on an annual basis evaluating the board of directors and the executive management’s structure, size, composition and results and preparing recommendations for the board of directors for any changes, </w:t>
              <w:br/>
              <w:t xml:space="preserve">in cooperation with the chairperson handling the annual evaluation of the board of directors and assessing the individual management members’ competencies, knowledge, experience and succession as well as reporting on it to the board of directors, </w:t>
              <w:br/>
              <w:t>handling the recruitment of new members to the board of directors and the executive management and nominating candidates for the board of directors’ approval,</w:t>
              <w:br/>
              <w:t xml:space="preserve">ensuring that a succession plan for the executive management is in place, </w:t>
              <w:br/>
              <w:t xml:space="preserve">supervising executive managements’ policy for the engagement of executive employees, and </w:t>
              <w:br/>
              <w:t>supervising the preparation of a diversity policy for the board of directors’ approval.</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3.4.5. The Committee recommends that the board of directors establishes a remuneration committee to perform at least the following preparatory tasks:</w:t>
              <w:br/>
              <w:t xml:space="preserve">preparing a draft remuneration policy for the board of directors’ approval prior to the presentation at the general meeting, </w:t>
              <w:br/>
              <w:t xml:space="preserve">providing a proposal to the board of directors on the remuneration of the members of the executive management, </w:t>
              <w:br/>
              <w:t xml:space="preserve">providing a proposal to the board of directors on the remuneration of the board of directors prior to the presentation at the general meeting, </w:t>
              <w:br/>
              <w:t xml:space="preserve">ensuring that the management’s actual remuneration complies with the company’s remuneration policy and the evaluation of the individual member’s performance, and </w:t>
              <w:br/>
              <w:t>assisting in the preparation of the annual remuneration report for the board of directors’ approval prior to the presentation for the general meeting’s advisory vote.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c>
          <w:tcPr>
            <w:tcW w:type="dxa" w:w="2551"/>
          </w:tcPr>
          <w:p>
            <w:r/>
            <w:r>
              <w:rPr>
                <w:rFonts w:ascii="Avenir Next LT Pro" w:hAnsi="Avenir Next LT Pro"/>
                <w:b w:val="0"/>
                <w:color w:val="1C4076"/>
                <w:sz w:val="17"/>
              </w:rPr>
              <w:t>3.5. Evaluation of the board of directors and the executive management</w:t>
            </w:r>
          </w:p>
        </w:tc>
      </w:tr>
      <w:tr>
        <w:tc>
          <w:tcPr>
            <w:tcW w:type="dxa" w:w="2551"/>
          </w:tcPr>
          <w:p>
            <w:r/>
            <w:r>
              <w:rPr>
                <w:rFonts w:ascii="Avenir Next LT Pro" w:hAnsi="Avenir Next LT Pro"/>
                <w:b w:val="0"/>
                <w:color w:val="1C4076"/>
                <w:sz w:val="17"/>
              </w:rPr>
              <w:t xml:space="preserve">3.5.1. The Committee recommends that the board of directors once a year evaluates the board of directors and at least every three years engages external assistance in the evaluation. </w:t>
              <w:br/>
              <w:t xml:space="preserve">The Committee recommends that the evaluation focuses on the recommendations on the board of directors’ work, efficiency, composition and organisation, cf. recommendations 3.1.-3.4. above, and that the evaluation as a minimum always includes the following topics: </w:t>
              <w:br/>
              <w:t xml:space="preserve">the composition of the board of directors with focus on competencies and diversity </w:t>
              <w:br/>
              <w:t xml:space="preserve">the board of directors and the individual member’s contribution and results, </w:t>
              <w:br/>
              <w:t xml:space="preserve">the cooperation on the board of directors and between the board of directors and the executive management, </w:t>
              <w:br/>
              <w:t xml:space="preserve">the chairperson’s leadership of the board of directors, </w:t>
              <w:br/>
              <w:t xml:space="preserve">the committee structure and the work in the committees, </w:t>
              <w:br/>
              <w:t>the organisation of the work of the board of directors and the quality of the material provided to the board of directors, and</w:t>
              <w:br/>
              <w:t>the board members’ preparation for and active participation in the meetings of the board of directors.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3.5.2. The Committee recommends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3.5.3. The Committee recommends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c>
          <w:tcPr>
            <w:tcW w:type="dxa" w:w="2551"/>
          </w:tcPr>
          <w:p>
            <w:r/>
            <w:r>
              <w:rPr>
                <w:rFonts w:ascii="Avenir Next LT Pro" w:hAnsi="Avenir Next LT Pro"/>
                <w:b w:val="0"/>
                <w:color w:val="1C4076"/>
                <w:sz w:val="17"/>
              </w:rPr>
              <w:t>4. Remuneration of management</w:t>
            </w:r>
          </w:p>
        </w:tc>
      </w:tr>
      <w:tr>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c>
          <w:tcPr>
            <w:tcW w:type="dxa" w:w="2551"/>
          </w:tcPr>
          <w:p>
            <w:r/>
            <w:r>
              <w:rPr>
                <w:rFonts w:ascii="Avenir Next LT Pro" w:hAnsi="Avenir Next LT Pro"/>
                <w:b w:val="0"/>
                <w:color w:val="1C4076"/>
                <w:sz w:val="17"/>
              </w:rPr>
              <w:t>4.1. Remuneration of the board of directors and the executive management</w:t>
            </w:r>
          </w:p>
        </w:tc>
      </w:tr>
      <w:tr>
        <w:tc>
          <w:tcPr>
            <w:tcW w:type="dxa" w:w="2551"/>
          </w:tcPr>
          <w:p>
            <w:r/>
            <w:r>
              <w:rPr>
                <w:rFonts w:ascii="Avenir Next LT Pro" w:hAnsi="Avenir Next LT Pro"/>
                <w:b w:val="0"/>
                <w:color w:val="1C4076"/>
                <w:sz w:val="17"/>
              </w:rPr>
              <w:t>4.1.1. The Committee recommends that the remuneration for the board of directors and the executive management and the other terms of employment/service is considered competitive and consistent with the company’s long-term shareholder interests.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4.1.2. The Committee recommends that share-based incentive schemes are revolving, i.e. that they are periodically granted, and that they primarily consist of long-term schemes with a vesting or maturity period of at least three years.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4.1.3. The Committee recommends that the variable part of the remuneration has a cap at the time of grant, and that there is transparency in respect of the potential value at the time of exercise under pessimistic, expected and optimistic scenarios.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4.1.4. The Committee recommends that the overall value of the remuneration for the notice period, including severance payment, in connection with a member of the executive management’s departure, does not exceed two years’ remuneration including all remuneration elements.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4.1.5. The Committee recommends that members of the board of directors are not remunerated with share options and warrants.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4.1.6. The Committee recommends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c>
          <w:tcPr>
            <w:tcW w:type="dxa" w:w="2551"/>
          </w:tcPr>
          <w:p>
            <w:r/>
            <w:r>
              <w:rPr>
                <w:rFonts w:ascii="Avenir Next LT Pro" w:hAnsi="Avenir Next LT Pro"/>
                <w:b w:val="0"/>
                <w:color w:val="1C4076"/>
                <w:sz w:val="17"/>
              </w:rPr>
              <w:t>5. Risk management</w:t>
            </w:r>
          </w:p>
        </w:tc>
      </w:tr>
      <w:tr>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c>
          <w:tcPr>
            <w:tcW w:type="dxa" w:w="2551"/>
          </w:tcPr>
          <w:p>
            <w:r/>
            <w:r>
              <w:rPr>
                <w:rFonts w:ascii="Avenir Next LT Pro" w:hAnsi="Avenir Next LT Pro"/>
                <w:b w:val="0"/>
                <w:color w:val="1C4076"/>
                <w:sz w:val="17"/>
              </w:rPr>
              <w:t>5.1. Identification of risks and openness in respect of additional information</w:t>
            </w:r>
          </w:p>
        </w:tc>
      </w:tr>
      <w:tr>
        <w:tc>
          <w:tcPr>
            <w:tcW w:type="dxa" w:w="2551"/>
          </w:tcPr>
          <w:p>
            <w:r/>
            <w:r>
              <w:rPr>
                <w:rFonts w:ascii="Avenir Next LT Pro" w:hAnsi="Avenir Next LT Pro"/>
                <w:b w:val="0"/>
                <w:color w:val="1C4076"/>
                <w:sz w:val="17"/>
              </w:rPr>
              <w:t>5.1.1. The Committee recommends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r>
        <w:tc>
          <w:tcPr>
            <w:tcW w:type="dxa" w:w="2551"/>
          </w:tcPr>
          <w:p>
            <w:r/>
            <w:r>
              <w:rPr>
                <w:rFonts w:ascii="Avenir Next LT Pro" w:hAnsi="Avenir Next LT Pro"/>
                <w:b w:val="0"/>
                <w:color w:val="1C4076"/>
                <w:sz w:val="17"/>
              </w:rPr>
              <w:t>5.1.2. The Committee recommends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r>
          </w:p>
        </w:tc>
      </w:tr>
    </w:tbl>
    <w:p>
      <w:pPr>
        <w:keepNext/>
        <w:spacing w:before="260" w:after="160"/>
      </w:pPr>
      <w:r>
        <w:rPr>
          <w:rFonts w:ascii="Avenir Next LT Pro" w:hAnsi="Avenir Next LT Pro"/>
          <w:b/>
          <w:color w:val="1C4076"/>
          <w:sz w:val="28"/>
        </w:rPr>
        <w:t>Management structure</w:t>
      </w:r>
    </w:p>
    <w:p>
      <w:pPr>
        <w:spacing w:after="200"/>
        <w:jc w:val="both"/>
      </w:pPr>
      <w:r>
        <w:rPr>
          <w:rFonts w:ascii="Avenir Next LT Pro" w:hAnsi="Avenir Next LT Pro"/>
          <w:b w:val="0"/>
          <w:color w:val="1C4076"/>
          <w:sz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w:t>
      </w:r>
    </w:p>
    <w:p>
      <w:pPr>
        <w:spacing w:after="200"/>
        <w:jc w:val="both"/>
      </w:pPr>
      <w:r>
        <w:rPr>
          <w:rFonts w:ascii="Avenir Next LT Pro" w:hAnsi="Avenir Next LT Pro"/>
          <w:b w:val="0"/>
          <w:color w:val="1C4076"/>
          <w:sz w:val="22"/>
        </w:rPr>
        <w:t>The members of the Board of Directors elected by the general meeting are elected for a term of one year until the next annual general meeting. Members of the Board of Directors may be re-elected.</w:t>
      </w:r>
    </w:p>
    <w:p>
      <w:pPr>
        <w:spacing w:after="200"/>
        <w:jc w:val="both"/>
      </w:pPr>
      <w:r>
        <w:rPr>
          <w:rFonts w:ascii="Avenir Next LT Pro" w:hAnsi="Avenir Next LT Pro"/>
          <w:b w:val="0"/>
          <w:color w:val="1C4076"/>
          <w:sz w:val="22"/>
        </w:rPr>
        <w:t>The Board of Directors plans to convene at least four times per year, including a yearly strategy session and ad hoc meetings as required.</w:t>
      </w:r>
    </w:p>
    <w:p>
      <w:pPr>
        <w:keepNext/>
        <w:spacing w:before="260" w:after="160"/>
      </w:pPr>
      <w:r>
        <w:rPr>
          <w:rFonts w:ascii="Avenir Next LT Pro" w:hAnsi="Avenir Next LT Pro"/>
          <w:b/>
          <w:color w:val="1C4076"/>
          <w:sz w:val="28"/>
        </w:rPr>
        <w:t>Board committees</w:t>
      </w:r>
    </w:p>
    <w:p>
      <w:pPr>
        <w:spacing w:after="200"/>
        <w:jc w:val="both"/>
      </w:pPr>
      <w:r>
        <w:rPr>
          <w:rFonts w:ascii="Avenir Next LT Pro" w:hAnsi="Avenir Next LT Pro"/>
          <w:b w:val="0"/>
          <w:color w:val="1C4076"/>
          <w:sz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pPr>
        <w:spacing w:after="200"/>
        <w:jc w:val="both"/>
      </w:pPr>
      <w:r>
        <w:rPr>
          <w:rFonts w:ascii="Avenir Next LT Pro" w:hAnsi="Avenir Next LT Pro"/>
          <w:b w:val="0"/>
          <w:color w:val="1C4076"/>
          <w:sz w:val="22"/>
        </w:rPr>
        <w:t>3.1 Audit Committee</w:t>
      </w:r>
    </w:p>
    <w:p>
      <w:pPr>
        <w:spacing w:after="200"/>
        <w:jc w:val="both"/>
      </w:pPr>
      <w:r>
        <w:rPr>
          <w:rFonts w:ascii="Avenir Next LT Pro" w:hAnsi="Avenir Next LT Pro"/>
          <w:b w:val="0"/>
          <w:color w:val="1C4076"/>
          <w:sz w:val="22"/>
        </w:rPr>
        <w:t>The Audit Committee shall consist of no less than two members appointed by and among the Board of Directors. Currently, the Audit Committee consists of two members. The overall purpose of the Audit Committee is to review the Company’s accounting and audit matters that require, by 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pPr>
        <w:spacing w:after="200"/>
        <w:jc w:val="both"/>
      </w:pPr>
      <w:r>
        <w:rPr>
          <w:rFonts w:ascii="Avenir Next LT Pro" w:hAnsi="Avenir Next LT Pro"/>
          <w:b w:val="0"/>
          <w:color w:val="1C4076"/>
          <w:sz w:val="22"/>
        </w:rPr>
        <w:t>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w:t>
      </w:r>
    </w:p>
    <w:p>
      <w:pPr>
        <w:spacing w:after="200"/>
        <w:jc w:val="both"/>
      </w:pPr>
      <w:r>
        <w:rPr>
          <w:rFonts w:ascii="Avenir Next LT Pro" w:hAnsi="Avenir Next LT Pro"/>
          <w:b w:val="0"/>
          <w:color w:val="1C4076"/>
          <w:sz w:val="22"/>
        </w:rPr>
        <w:t>The majority of the members of the Audit Committee are considered independent.</w:t>
      </w:r>
    </w:p>
    <w:p>
      <w:pPr>
        <w:spacing w:after="200"/>
        <w:jc w:val="both"/>
      </w:pPr>
      <w:r>
        <w:rPr>
          <w:rFonts w:ascii="Avenir Next LT Pro" w:hAnsi="Avenir Next LT Pro"/>
          <w:b w:val="0"/>
          <w:color w:val="1C4076"/>
          <w:sz w:val="22"/>
        </w:rPr>
        <w:t>3.2 Remuneration and Nomination Committee</w:t>
      </w:r>
    </w:p>
    <w:p>
      <w:pPr>
        <w:spacing w:after="200"/>
        <w:jc w:val="both"/>
      </w:pPr>
      <w:r>
        <w:rPr>
          <w:rFonts w:ascii="Avenir Next LT Pro" w:hAnsi="Avenir Next LT Pro"/>
          <w:b w:val="0"/>
          <w:color w:val="1C4076"/>
          <w:sz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pPr>
        <w:spacing w:after="200"/>
        <w:jc w:val="both"/>
      </w:pPr>
      <w:r>
        <w:rPr>
          <w:rFonts w:ascii="Avenir Next LT Pro" w:hAnsi="Avenir Next LT Pro"/>
          <w:b w:val="0"/>
          <w:color w:val="1C4076"/>
          <w:sz w:val="22"/>
        </w:rPr>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pPr>
        <w:spacing w:after="200"/>
        <w:jc w:val="both"/>
      </w:pPr>
      <w:r>
        <w:rPr>
          <w:rFonts w:ascii="Avenir Next LT Pro" w:hAnsi="Avenir Next LT Pro"/>
          <w:b w:val="0"/>
          <w:color w:val="1C4076"/>
          <w:sz w:val="22"/>
        </w:rPr>
        <w:t>The majority of the members of the Remuneration and Nomination Committee are not considered independent, as only one of two members are considered independent.</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inter alia,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pPr>
        <w:keepNext/>
        <w:spacing w:before="260" w:after="160"/>
      </w:pPr>
      <w:r>
        <w:rPr>
          <w:rFonts w:ascii="Avenir Next LT Pro" w:hAnsi="Avenir Next LT Pro"/>
          <w:b/>
          <w:color w:val="1C4076"/>
          <w:sz w:val="28"/>
        </w:rPr>
        <w:t>Internal control and financial reporting procedures</w:t>
      </w:r>
    </w:p>
    <w:p>
      <w:pPr>
        <w:spacing w:after="200"/>
        <w:jc w:val="both"/>
      </w:pPr>
      <w:r>
        <w:rPr>
          <w:rFonts w:ascii="Avenir Next LT Pro" w:hAnsi="Avenir Next LT Pro"/>
          <w:b w:val="0"/>
          <w:color w:val="1C4076"/>
          <w:sz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 intended to ensure effective oversight of its financial performance, operational activities, funding arrangements, and risk exposures.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growth, complexity, and evolving governance requirements.</w:t>
      </w:r>
    </w:p>
    <w:p>
      <w:pPr>
        <w:keepNext/>
        <w:spacing w:before="260" w:after="160"/>
      </w:pPr>
      <w:r>
        <w:rPr>
          <w:rFonts w:ascii="Avenir Next LT Pro" w:hAnsi="Avenir Next LT Pro"/>
          <w:b/>
          <w:color w:val="1C4076"/>
          <w:sz w:val="28"/>
        </w:rPr>
        <w:t>Danish Corporate Governance Recommendations</w:t>
      </w:r>
    </w:p>
    <w:p>
      <w:pPr>
        <w:spacing w:after="200"/>
        <w:jc w:val="both"/>
      </w:pPr>
      <w:r>
        <w:rPr>
          <w:rFonts w:ascii="Avenir Next LT Pro" w:hAnsi="Avenir Next LT Pro"/>
          <w:b w:val="0"/>
          <w:color w:val="1C4076"/>
          <w:sz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pPr>
        <w:pStyle w:val="ListBullet"/>
        <w:spacing w:after="80"/>
      </w:pPr>
      <w:r>
        <w:rPr>
          <w:rFonts w:ascii="Avenir Next LT Pro" w:hAnsi="Avenir Next LT Pro"/>
          <w:b w:val="0"/>
          <w:color w:val="1C4076"/>
          <w:sz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 In particular in relation to the Remuneration and Nomination Committee, the Board of Directors finds it important that at least one board member associated with the majority shareholder is represented in the Company’s Remuneration and Nomination Committee.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Corporate Governance Statement</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