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kaqh7bmf.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color w:val="1C4076"/>
          <w:sz w:val="22"/>
        </w:rPr>
        <w:t>As a global manufacturer of high performance aquafeeds, BioMar strives to meet its customers’ needs in an environmentally responsible and sustainable way. We are committed to operating responsibly in the direct operations we control, and throughout the wider supply chain that we influence.</w:t>
      </w:r>
    </w:p>
    <w:p>
      <w:pPr>
        <w:spacing w:after="200"/>
        <w:jc w:val="both"/>
      </w:pPr>
      <w:r>
        <w:rPr>
          <w:rFonts w:ascii="Avenir Next LT Pro" w:hAnsi="Avenir Next LT Pro"/>
          <w:b/>
          <w:color w:val="1C4076"/>
          <w:sz w:val="22"/>
        </w:rPr>
        <w:t>BioMar strives to minimise our impact on the surrounding environment and promote the long-term environmental and economic sustainability of our operations. We also strive to demonstrate care for communities where we operate, and the health and welfare of our employees.</w:t>
      </w:r>
    </w:p>
    <w:p>
      <w:pPr>
        <w:spacing w:after="200"/>
        <w:jc w:val="both"/>
      </w:pPr>
      <w:r>
        <w:rPr>
          <w:rFonts w:ascii="Avenir Next LT Pro" w:hAnsi="Avenir Next LT Pro"/>
          <w:b w:val="0"/>
          <w:color w:val="1C4076"/>
          <w:sz w:val="22"/>
        </w:rPr>
        <w:t>At BioMar, we will:</w:t>
      </w:r>
    </w:p>
    <w:p>
      <w:pPr>
        <w:pStyle w:val="ListBullet"/>
        <w:spacing w:after="80"/>
      </w:pPr>
      <w:r>
        <w:rPr>
          <w:rFonts w:ascii="Avenir Next LT Pro" w:hAnsi="Avenir Next LT Pro"/>
          <w:b w:val="0"/>
          <w:color w:val="1C4076"/>
          <w:sz w:val="22"/>
        </w:rPr>
        <w:t>Comply with all legal and other requirements governing environmental and energy management in the countries where we operate. We will implement environmental and energy efficiency management practices and monitor compliance with them</w:t>
      </w:r>
    </w:p>
    <w:p>
      <w:pPr>
        <w:pStyle w:val="ListBullet"/>
        <w:spacing w:after="80"/>
      </w:pPr>
      <w:r>
        <w:rPr>
          <w:rFonts w:ascii="Avenir Next LT Pro" w:hAnsi="Avenir Next LT Pro"/>
          <w:b w:val="0"/>
          <w:color w:val="1C4076"/>
          <w:sz w:val="22"/>
        </w:rPr>
        <w:t>Understand our impacts on the environment and communities in which we operate and proactively put in place management plans to minimise these impacts, with special attention to mitigation and adaptation measures to the effects of climate change</w:t>
      </w:r>
    </w:p>
    <w:p>
      <w:pPr>
        <w:pStyle w:val="ListBullet"/>
        <w:spacing w:after="80"/>
      </w:pPr>
      <w:r>
        <w:rPr>
          <w:rFonts w:ascii="Avenir Next LT Pro" w:hAnsi="Avenir Next LT Pro"/>
          <w:b w:val="0"/>
          <w:color w:val="1C4076"/>
          <w:sz w:val="22"/>
        </w:rPr>
        <w:t>Monitor our operational performance through a set of key metrics and set targets for continuous improvement and publish our targets and performance on an annual basis through our Sustainability Report</w:t>
      </w:r>
    </w:p>
    <w:p>
      <w:pPr>
        <w:pStyle w:val="ListBullet"/>
        <w:spacing w:after="80"/>
      </w:pPr>
      <w:r>
        <w:rPr>
          <w:rFonts w:ascii="Avenir Next LT Pro" w:hAnsi="Avenir Next LT Pro"/>
          <w:b w:val="0"/>
          <w:color w:val="1C4076"/>
          <w:sz w:val="22"/>
        </w:rPr>
        <w:t>Ensure that the responsibility of environmental and energy matters is properly assigned, accepted, and fulfilled at all levels of the organisation and that all practical steps are taken to safeguard the environment in the processes under its control</w:t>
      </w:r>
    </w:p>
    <w:p>
      <w:pPr>
        <w:pStyle w:val="ListBullet"/>
        <w:spacing w:after="80"/>
      </w:pPr>
      <w:r>
        <w:rPr>
          <w:rFonts w:ascii="Avenir Next LT Pro" w:hAnsi="Avenir Next LT Pro"/>
          <w:b w:val="0"/>
          <w:color w:val="1C4076"/>
          <w:sz w:val="22"/>
        </w:rPr>
        <w:t>Raise awareness, encourage participation, and train employees in environmental and energy matters</w:t>
      </w:r>
    </w:p>
    <w:p>
      <w:pPr>
        <w:pStyle w:val="ListBullet"/>
        <w:spacing w:after="80"/>
      </w:pPr>
      <w:r>
        <w:rPr>
          <w:rFonts w:ascii="Avenir Next LT Pro" w:hAnsi="Avenir Next LT Pro"/>
          <w:b w:val="0"/>
          <w:color w:val="1C4076"/>
          <w:sz w:val="22"/>
        </w:rPr>
        <w:t>Minimise the generation of emissions and waste (process waste, odour, effluent discharges, GHG emissions, packaging and energy waste), as well as control the efficient use of water and energy</w:t>
      </w:r>
    </w:p>
    <w:p>
      <w:pPr>
        <w:pStyle w:val="ListBullet"/>
        <w:spacing w:after="80"/>
      </w:pPr>
      <w:r>
        <w:rPr>
          <w:rFonts w:ascii="Avenir Next LT Pro" w:hAnsi="Avenir Next LT Pro"/>
          <w:b w:val="0"/>
          <w:color w:val="1C4076"/>
          <w:sz w:val="22"/>
        </w:rPr>
        <w:t>Consider the environmental impact and energy performance in the procurement and design of changes and improvements to facilities, equipment, systems, processes and associated services</w:t>
      </w:r>
    </w:p>
    <w:p>
      <w:pPr>
        <w:pStyle w:val="ListBullet"/>
        <w:spacing w:after="80"/>
      </w:pPr>
      <w:r>
        <w:rPr>
          <w:rFonts w:ascii="Avenir Next LT Pro" w:hAnsi="Avenir Next LT Pro"/>
          <w:b w:val="0"/>
          <w:color w:val="1C4076"/>
          <w:sz w:val="22"/>
        </w:rPr>
        <w:t>Promote the continuous improvement of environmental impacts and energy performance management</w:t>
      </w:r>
    </w:p>
    <w:p>
      <w:pPr>
        <w:spacing w:after="200"/>
        <w:jc w:val="both"/>
      </w:pPr>
      <w:r>
        <w:rPr>
          <w:rFonts w:ascii="Avenir Next LT Pro" w:hAnsi="Avenir Next LT Pro"/>
          <w:b w:val="0"/>
          <w:color w:val="1C4076"/>
          <w:sz w:val="22"/>
        </w:rPr>
        <w:t>This policy applies to all BioMar Group operating companies in which BioMar maintains operational control. It will be periodically reviewed by the BioMar Executive Committee and updated as appropriate to ensure our objectives are achieved. Revisions will be published and brought to the attention of all employees and relevant parties.</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Global Manufacturing &amp; Technology</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Environmental &amp; Energy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