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meftza7c.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color w:val="1C4076"/>
          <w:sz w:val="28"/>
        </w:rPr>
        <w:t>Introduction</w:t>
      </w:r>
    </w:p>
    <w:p>
      <w:pPr>
        <w:spacing w:after="200"/>
        <w:jc w:val="both"/>
      </w:pPr>
      <w:r>
        <w:rPr>
          <w:rFonts w:ascii="Avenir Next LT Pro" w:hAnsi="Avenir Next LT Pro"/>
          <w:b w:val="0"/>
          <w:color w:val="1C4076"/>
          <w:sz w:val="22"/>
        </w:rPr>
        <w:t>BioMar Group acknowledge that good health among our employees is a prerequisite to good business results. At the same time, we take pride in being a socially responsible employer. This means that we care about preventing health problems and we take measures to minimize the consequences of health-related issues.</w:t>
      </w:r>
    </w:p>
    <w:p>
      <w:pPr>
        <w:spacing w:after="200"/>
        <w:jc w:val="both"/>
      </w:pPr>
      <w:r>
        <w:rPr>
          <w:rFonts w:ascii="Avenir Next LT Pro" w:hAnsi="Avenir Next LT Pro"/>
          <w:b w:val="0"/>
          <w:color w:val="1C4076"/>
          <w:sz w:val="22"/>
        </w:rPr>
        <w:t>BioMar Group uses medical services to safeguard employee health and to comply with local regulations/ legislation related to health and safety. The purpose is to ensure, employees are fit for work and in good health. Furthermore, it will in some geographies be a benefit standard to offer medical checks and other medical services to employees during the employment.</w:t>
      </w:r>
    </w:p>
    <w:p>
      <w:pPr>
        <w:spacing w:after="200"/>
        <w:jc w:val="both"/>
      </w:pPr>
      <w:r>
        <w:rPr>
          <w:rFonts w:ascii="Avenir Next LT Pro" w:hAnsi="Avenir Next LT Pro"/>
          <w:b w:val="0"/>
          <w:color w:val="1C4076"/>
          <w:sz w:val="22"/>
        </w:rPr>
        <w:t>Use of medical services must always comply with this policy as well as international standards for human and labour rights and local legislation. This BioMar Group policy for medical services describes:</w:t>
      </w:r>
    </w:p>
    <w:p>
      <w:pPr>
        <w:pStyle w:val="ListBullet"/>
        <w:spacing w:after="80"/>
      </w:pPr>
      <w:r>
        <w:rPr>
          <w:rFonts w:ascii="Avenir Next LT Pro" w:hAnsi="Avenir Next LT Pro"/>
          <w:b w:val="0"/>
          <w:color w:val="1C4076"/>
          <w:sz w:val="22"/>
        </w:rPr>
        <w:t>BioMar Group Policy Statement</w:t>
      </w:r>
    </w:p>
    <w:p>
      <w:pPr>
        <w:pStyle w:val="ListBullet"/>
        <w:spacing w:after="80"/>
      </w:pPr>
      <w:r>
        <w:rPr>
          <w:rFonts w:ascii="Avenir Next LT Pro" w:hAnsi="Avenir Next LT Pro"/>
          <w:b w:val="0"/>
          <w:color w:val="1C4076"/>
          <w:sz w:val="22"/>
        </w:rPr>
        <w:t>How to support and document compliance</w:t>
      </w:r>
    </w:p>
    <w:p>
      <w:pPr>
        <w:spacing w:after="200"/>
        <w:jc w:val="both"/>
      </w:pPr>
      <w:r>
        <w:rPr>
          <w:rFonts w:ascii="Avenir Next LT Pro" w:hAnsi="Avenir Next LT Pro"/>
          <w:b w:val="0"/>
          <w:color w:val="1C4076"/>
          <w:sz w:val="22"/>
        </w:rPr>
        <w:t>This policy is an add-on to our overall HSE policy.</w:t>
      </w:r>
    </w:p>
    <w:p>
      <w:pPr>
        <w:keepNext/>
        <w:spacing w:before="260" w:after="160"/>
      </w:pPr>
      <w:r>
        <w:rPr>
          <w:rFonts w:ascii="Avenir Next LT Pro" w:hAnsi="Avenir Next LT Pro"/>
          <w:b/>
          <w:color w:val="1C4076"/>
          <w:sz w:val="28"/>
        </w:rPr>
        <w:t>Policy Statement</w:t>
      </w:r>
    </w:p>
    <w:p>
      <w:pPr>
        <w:spacing w:after="200"/>
        <w:jc w:val="both"/>
      </w:pPr>
      <w:r>
        <w:rPr>
          <w:rFonts w:ascii="Avenir Next LT Pro" w:hAnsi="Avenir Next LT Pro"/>
          <w:b w:val="0"/>
          <w:color w:val="1C4076"/>
          <w:sz w:val="22"/>
        </w:rPr>
        <w:t>In BioMar Group it is our policy that:</w:t>
      </w:r>
    </w:p>
    <w:p>
      <w:pPr>
        <w:spacing w:after="200"/>
        <w:jc w:val="both"/>
      </w:pPr>
      <w:r>
        <w:rPr>
          <w:rFonts w:ascii="Avenir Next LT Pro" w:hAnsi="Avenir Next LT Pro"/>
          <w:b w:val="0"/>
          <w:color w:val="1C4076"/>
          <w:sz w:val="22"/>
        </w:rPr>
        <w:t>Our use of medical services aims at promoting employee health while safeguarding human and labour rights, throughout the entire employee life cycle. All medical services delivered must comply with local and international regulations/legislation, while promoting our purpose. Every employee must be able to work avoiding risks to personal health and have the possibility to live a healthy life while working in BioMar Group.</w:t>
      </w:r>
    </w:p>
    <w:p>
      <w:pPr>
        <w:keepNext/>
        <w:spacing w:before="260" w:after="160"/>
      </w:pPr>
      <w:r>
        <w:rPr>
          <w:rFonts w:ascii="Avenir Next LT Pro" w:hAnsi="Avenir Next LT Pro"/>
          <w:b/>
          <w:color w:val="1C4076"/>
          <w:sz w:val="28"/>
        </w:rPr>
        <w:t>Scope and field of application</w:t>
      </w:r>
    </w:p>
    <w:p>
      <w:pPr>
        <w:spacing w:after="200"/>
        <w:jc w:val="both"/>
      </w:pPr>
      <w:r>
        <w:rPr>
          <w:rFonts w:ascii="Avenir Next LT Pro" w:hAnsi="Avenir Next LT Pro"/>
          <w:b w:val="0"/>
          <w:color w:val="1C4076"/>
          <w:sz w:val="22"/>
        </w:rPr>
        <w:t>This document specifies the principles for use of medical services in BioMar Group. The policy applies to the entire group including JV companies and addresses requirements which must be met at all levels and in all units. The policy must be complied with by any manager and employee in BioMar Group and by any sub-contractors or suppliers working on behalf of BioMar supplying medical services. However, local legislation must always be given priority.</w:t>
      </w:r>
    </w:p>
    <w:p>
      <w:pPr>
        <w:keepNext/>
        <w:spacing w:before="260" w:after="160"/>
      </w:pPr>
      <w:r>
        <w:rPr>
          <w:rFonts w:ascii="Avenir Next LT Pro" w:hAnsi="Avenir Next LT Pro"/>
          <w:b/>
          <w:color w:val="1C4076"/>
          <w:sz w:val="28"/>
        </w:rPr>
        <w:t>Contracting medical services</w:t>
      </w:r>
    </w:p>
    <w:p>
      <w:pPr>
        <w:spacing w:after="200"/>
        <w:jc w:val="both"/>
      </w:pPr>
      <w:r>
        <w:rPr>
          <w:rFonts w:ascii="Avenir Next LT Pro" w:hAnsi="Avenir Next LT Pro"/>
          <w:b w:val="0"/>
          <w:color w:val="1C4076"/>
          <w:sz w:val="22"/>
        </w:rPr>
        <w:t>To comply with our HSE Policy as well as local regulations/legislation related to health and safety it will from time to time be relevant to use medical services provided by medical staff.</w:t>
      </w:r>
    </w:p>
    <w:p>
      <w:pPr>
        <w:spacing w:after="200"/>
        <w:jc w:val="both"/>
      </w:pPr>
      <w:r>
        <w:rPr>
          <w:rFonts w:ascii="Avenir Next LT Pro" w:hAnsi="Avenir Next LT Pro"/>
          <w:b w:val="0"/>
          <w:color w:val="1C4076"/>
          <w:sz w:val="22"/>
        </w:rPr>
        <w:t>To minimize human, legal, and financial risks related to the performance of the medical services, medical services must always be provided by external medical service providers, who are registered, approved by the authorities, and insured to provide the given services. Medical services should be delivered by recognized and independent service providers. No medical services can be delivered by internal staff except first aid and other emergency response.</w:t>
      </w:r>
    </w:p>
    <w:p>
      <w:pPr>
        <w:spacing w:after="200"/>
        <w:jc w:val="both"/>
      </w:pPr>
      <w:r>
        <w:rPr>
          <w:rFonts w:ascii="Avenir Next LT Pro" w:hAnsi="Avenir Next LT Pro"/>
          <w:b w:val="0"/>
          <w:color w:val="1C4076"/>
          <w:sz w:val="22"/>
        </w:rPr>
        <w:t>All health and medical information handled by BioMar or external service providers must be protected in accordance with the requirements set in the European GDPR (General Data Protection Regulation). The employee must be the data owner of all health and medical information related to the employment, and the employee must provide consent before any data processing by external providers.</w:t>
      </w:r>
    </w:p>
    <w:p>
      <w:pPr>
        <w:keepNext/>
        <w:spacing w:before="260" w:after="160"/>
      </w:pPr>
      <w:r>
        <w:rPr>
          <w:rFonts w:ascii="Avenir Next LT Pro" w:hAnsi="Avenir Next LT Pro"/>
          <w:b/>
          <w:color w:val="1C4076"/>
          <w:sz w:val="28"/>
        </w:rPr>
        <w:t>Use of medical services during recruitment and onboarding</w:t>
      </w:r>
    </w:p>
    <w:p>
      <w:pPr>
        <w:spacing w:after="200"/>
        <w:jc w:val="both"/>
      </w:pPr>
      <w:r>
        <w:rPr>
          <w:rFonts w:ascii="Avenir Next LT Pro" w:hAnsi="Avenir Next LT Pro"/>
          <w:b w:val="0"/>
          <w:color w:val="1C4076"/>
          <w:sz w:val="22"/>
        </w:rPr>
        <w:t>In BioMar, we might from time to time perform medical checks during recruitment and onboarding for the following purposes:</w:t>
      </w:r>
    </w:p>
    <w:p>
      <w:pPr>
        <w:pStyle w:val="ListBullet"/>
        <w:spacing w:after="80"/>
      </w:pPr>
      <w:r>
        <w:rPr>
          <w:rFonts w:ascii="Avenir Next LT Pro" w:hAnsi="Avenir Next LT Pro"/>
          <w:b w:val="0"/>
          <w:color w:val="1C4076"/>
          <w:sz w:val="22"/>
        </w:rPr>
        <w:t>Examination and/or self-assessment to evaluate if an employee is fit for specific task(s) requiring a specific physical condition such as healthy joints, muscles etc. The examination must be based upon a risk assessment of the task to be performed by the employee and hence be a part of our general risk assessment system.</w:t>
      </w:r>
    </w:p>
    <w:p>
      <w:pPr>
        <w:pStyle w:val="ListBullet"/>
        <w:spacing w:after="80"/>
      </w:pPr>
      <w:r>
        <w:rPr>
          <w:rFonts w:ascii="Avenir Next LT Pro" w:hAnsi="Avenir Next LT Pro"/>
          <w:b w:val="0"/>
          <w:color w:val="1C4076"/>
          <w:sz w:val="22"/>
        </w:rPr>
        <w:t>Examination and/or self-assessment of health to set insurance premium for specific purposes such as expatriation. The cost of all medical checks must be borne by BioMar. Hence the candidate must never pay any fee related to the recruitment and onboarding process.</w:t>
      </w:r>
    </w:p>
    <w:p>
      <w:pPr>
        <w:spacing w:after="200"/>
        <w:jc w:val="both"/>
      </w:pPr>
      <w:r>
        <w:rPr>
          <w:rFonts w:ascii="Avenir Next LT Pro" w:hAnsi="Avenir Next LT Pro"/>
          <w:b w:val="0"/>
          <w:color w:val="1C4076"/>
          <w:sz w:val="22"/>
        </w:rPr>
        <w:t>We do not accept any of the following medical checks or services during recruitment and onboarding:</w:t>
      </w:r>
    </w:p>
    <w:p>
      <w:pPr>
        <w:pStyle w:val="ListBullet"/>
        <w:spacing w:after="80"/>
      </w:pPr>
      <w:r>
        <w:rPr>
          <w:rFonts w:ascii="Avenir Next LT Pro" w:hAnsi="Avenir Next LT Pro"/>
          <w:b w:val="0"/>
          <w:color w:val="1C4076"/>
          <w:sz w:val="22"/>
        </w:rPr>
        <w:t>Medical check with the purpose of detecting pregnancy or virginity.</w:t>
      </w:r>
    </w:p>
    <w:p>
      <w:pPr>
        <w:pStyle w:val="ListBullet"/>
        <w:spacing w:after="80"/>
      </w:pPr>
      <w:r>
        <w:rPr>
          <w:rFonts w:ascii="Avenir Next LT Pro" w:hAnsi="Avenir Next LT Pro"/>
          <w:b w:val="0"/>
          <w:color w:val="1C4076"/>
          <w:sz w:val="22"/>
        </w:rPr>
        <w:t>Encouragement or practice of forced contraception.</w:t>
      </w:r>
    </w:p>
    <w:p>
      <w:pPr>
        <w:pStyle w:val="ListBullet"/>
        <w:spacing w:after="80"/>
      </w:pPr>
      <w:r>
        <w:rPr>
          <w:rFonts w:ascii="Avenir Next LT Pro" w:hAnsi="Avenir Next LT Pro"/>
          <w:b w:val="0"/>
          <w:color w:val="1C4076"/>
          <w:sz w:val="22"/>
        </w:rPr>
        <w:t>Medical checks which cannot be conducted on/recommended for pregnant women.</w:t>
      </w:r>
    </w:p>
    <w:p>
      <w:pPr>
        <w:pStyle w:val="ListBullet"/>
        <w:spacing w:after="80"/>
      </w:pPr>
      <w:r>
        <w:rPr>
          <w:rFonts w:ascii="Avenir Next LT Pro" w:hAnsi="Avenir Next LT Pro"/>
          <w:b w:val="0"/>
          <w:color w:val="1C4076"/>
          <w:sz w:val="22"/>
        </w:rPr>
        <w:t>Check of health conditions for administrative/office staff, unless onboarding by legislation/regulations requires a medical assessment for equality purposes.</w:t>
      </w:r>
    </w:p>
    <w:p>
      <w:pPr>
        <w:spacing w:after="200"/>
        <w:jc w:val="both"/>
      </w:pPr>
      <w:r>
        <w:rPr>
          <w:rFonts w:ascii="Avenir Next LT Pro" w:hAnsi="Avenir Next LT Pro"/>
          <w:b w:val="0"/>
          <w:color w:val="1C4076"/>
          <w:sz w:val="22"/>
        </w:rPr>
        <w:t>The company should receive an attestation that the employee is fit for the specific work tasks or if a specific functional support is required for equality purposes. Unless local legislation requires other documentation for complying with health and safety legislation, no other attestation or documentation from the medical check must be obtained by the company.</w:t>
      </w:r>
    </w:p>
    <w:p>
      <w:pPr>
        <w:keepNext/>
        <w:spacing w:before="260" w:after="160"/>
      </w:pPr>
      <w:r>
        <w:rPr>
          <w:rFonts w:ascii="Avenir Next LT Pro" w:hAnsi="Avenir Next LT Pro"/>
          <w:b/>
          <w:color w:val="1C4076"/>
          <w:sz w:val="28"/>
        </w:rPr>
        <w:t>Medical services during employment</w:t>
      </w:r>
    </w:p>
    <w:p>
      <w:pPr>
        <w:spacing w:after="200"/>
        <w:jc w:val="both"/>
      </w:pPr>
      <w:r>
        <w:rPr>
          <w:rFonts w:ascii="Avenir Next LT Pro" w:hAnsi="Avenir Next LT Pro"/>
          <w:b w:val="0"/>
          <w:color w:val="1C4076"/>
          <w:sz w:val="22"/>
        </w:rPr>
        <w:t>During employment, local BioMar companies can decide to offer medical services to the employees as a benefit being part of the remuneration package. These services might consist of:</w:t>
      </w:r>
    </w:p>
    <w:p>
      <w:pPr>
        <w:pStyle w:val="ListBullet"/>
        <w:spacing w:after="80"/>
      </w:pPr>
      <w:r>
        <w:rPr>
          <w:rFonts w:ascii="Avenir Next LT Pro" w:hAnsi="Avenir Next LT Pro"/>
          <w:b w:val="0"/>
          <w:color w:val="1C4076"/>
          <w:sz w:val="22"/>
        </w:rPr>
        <w:t>General medical and well-being checks.</w:t>
      </w:r>
    </w:p>
    <w:p>
      <w:pPr>
        <w:pStyle w:val="ListBullet"/>
        <w:spacing w:after="80"/>
      </w:pPr>
      <w:r>
        <w:rPr>
          <w:rFonts w:ascii="Avenir Next LT Pro" w:hAnsi="Avenir Next LT Pro"/>
          <w:b w:val="0"/>
          <w:color w:val="1C4076"/>
          <w:sz w:val="22"/>
        </w:rPr>
        <w:t>Preventive medical services such as vaccinations and health programs.</w:t>
      </w:r>
    </w:p>
    <w:p>
      <w:pPr>
        <w:pStyle w:val="ListBullet"/>
        <w:spacing w:after="80"/>
      </w:pPr>
      <w:r>
        <w:rPr>
          <w:rFonts w:ascii="Avenir Next LT Pro" w:hAnsi="Avenir Next LT Pro"/>
          <w:b w:val="0"/>
          <w:color w:val="1C4076"/>
          <w:sz w:val="22"/>
        </w:rPr>
        <w:t>Assistance in health-related issues such as physical illness, mental well-being etc.</w:t>
      </w:r>
    </w:p>
    <w:p>
      <w:pPr>
        <w:pStyle w:val="ListBullet"/>
        <w:spacing w:after="80"/>
      </w:pPr>
      <w:r>
        <w:rPr>
          <w:rFonts w:ascii="Avenir Next LT Pro" w:hAnsi="Avenir Next LT Pro"/>
          <w:b w:val="0"/>
          <w:color w:val="1C4076"/>
          <w:sz w:val="22"/>
        </w:rPr>
        <w:t>Examination of health to take on an individual insurance for specific purposes, not being a part of the general group insurance program.</w:t>
      </w:r>
    </w:p>
    <w:p>
      <w:pPr>
        <w:spacing w:after="200"/>
        <w:jc w:val="both"/>
      </w:pPr>
      <w:r>
        <w:rPr>
          <w:rFonts w:ascii="Avenir Next LT Pro" w:hAnsi="Avenir Next LT Pro"/>
          <w:b w:val="0"/>
          <w:color w:val="1C4076"/>
          <w:sz w:val="22"/>
        </w:rPr>
        <w:t>The services can be offered as part of insurance programs as well directly contracted by the company.</w:t>
      </w:r>
    </w:p>
    <w:p>
      <w:pPr>
        <w:spacing w:after="200"/>
        <w:jc w:val="both"/>
      </w:pPr>
      <w:r>
        <w:rPr>
          <w:rFonts w:ascii="Avenir Next LT Pro" w:hAnsi="Avenir Next LT Pro"/>
          <w:b w:val="0"/>
          <w:color w:val="1C4076"/>
          <w:sz w:val="22"/>
        </w:rPr>
        <w:t>BioMar must not receive any documentation or feedback from such medical services offered as a benefit. Any conclusions must be communicated directly to the employee or to the insurance company requiring an examination.</w:t>
      </w:r>
    </w:p>
    <w:p>
      <w:pPr>
        <w:spacing w:after="200"/>
        <w:jc w:val="both"/>
      </w:pPr>
      <w:r>
        <w:rPr>
          <w:rFonts w:ascii="Avenir Next LT Pro" w:hAnsi="Avenir Next LT Pro"/>
          <w:b w:val="0"/>
          <w:color w:val="1C4076"/>
          <w:sz w:val="22"/>
        </w:rPr>
        <w:t>Fit-for-work examinations can be repeated during employment as required by local legislation.</w:t>
      </w:r>
    </w:p>
    <w:p>
      <w:pPr>
        <w:keepNext/>
        <w:spacing w:before="260" w:after="160"/>
      </w:pPr>
      <w:r>
        <w:rPr>
          <w:rFonts w:ascii="Avenir Next LT Pro" w:hAnsi="Avenir Next LT Pro"/>
          <w:b/>
          <w:color w:val="1C4076"/>
          <w:sz w:val="28"/>
        </w:rPr>
        <w:t>Responsibilities</w:t>
      </w:r>
    </w:p>
    <w:p>
      <w:pPr>
        <w:spacing w:after="200"/>
        <w:jc w:val="both"/>
      </w:pPr>
      <w:r>
        <w:rPr>
          <w:rFonts w:ascii="Avenir Next LT Pro" w:hAnsi="Avenir Next LT Pro"/>
          <w:b w:val="0"/>
          <w:color w:val="1C4076"/>
          <w:sz w:val="22"/>
        </w:rPr>
        <w:t>The HR responsible for each legal entity in BioMar is responsible for the compliance with the global policy.</w:t>
      </w:r>
    </w:p>
    <w:p>
      <w:pPr>
        <w:spacing w:after="200"/>
        <w:jc w:val="both"/>
      </w:pPr>
      <w:r>
        <w:rPr>
          <w:rFonts w:ascii="Avenir Next LT Pro" w:hAnsi="Avenir Next LT Pro"/>
          <w:b w:val="0"/>
          <w:color w:val="1C4076"/>
          <w:sz w:val="22"/>
        </w:rPr>
        <w:t>All documentation and health related data concerning the employee must be stored in Workday in the document category: Medical Documents. Physical documents must be stored in a safe storage with a digital copy in Workday. Only relevant HR staff and the employee can be granted access to this document category.</w:t>
      </w:r>
    </w:p>
    <w:p>
      <w:pPr>
        <w:spacing w:after="200"/>
        <w:jc w:val="both"/>
      </w:pPr>
      <w:r>
        <w:rPr>
          <w:rFonts w:ascii="Avenir Next LT Pro" w:hAnsi="Avenir Next LT Pro"/>
          <w:b w:val="0"/>
          <w:color w:val="1C4076"/>
          <w:sz w:val="22"/>
        </w:rPr>
        <w:t>If no HR function exist in the legal entity, it must be clearly defined which position(s) will perform the responsibilities mentioned in this policy.</w:t>
      </w:r>
    </w:p>
    <w:p>
      <w:pPr>
        <w:keepNext/>
        <w:spacing w:before="260" w:after="160"/>
      </w:pPr>
      <w:r>
        <w:rPr>
          <w:rFonts w:ascii="Avenir Next LT Pro" w:hAnsi="Avenir Next LT Pro"/>
          <w:b/>
          <w:color w:val="1C4076"/>
          <w:sz w:val="28"/>
        </w:rPr>
        <w:t>Grievance</w:t>
      </w:r>
    </w:p>
    <w:p>
      <w:pPr>
        <w:spacing w:after="200"/>
        <w:jc w:val="both"/>
      </w:pPr>
      <w:r>
        <w:rPr>
          <w:rFonts w:ascii="Avenir Next LT Pro" w:hAnsi="Avenir Next LT Pro"/>
          <w:b w:val="0"/>
          <w:color w:val="1C4076"/>
          <w:sz w:val="22"/>
        </w:rPr>
        <w:t>Grievance process related to the performance of medical services must be available in the legal entity as well as at global level. At global level, the whistle-blower line guarantees and documents available grievance process.</w:t>
      </w:r>
    </w:p>
    <w:p>
      <w:pPr>
        <w:keepNext/>
        <w:spacing w:before="260" w:after="160"/>
      </w:pPr>
      <w:r>
        <w:rPr>
          <w:rFonts w:ascii="Avenir Next LT Pro" w:hAnsi="Avenir Next LT Pro"/>
          <w:b/>
          <w:color w:val="1C4076"/>
          <w:sz w:val="28"/>
        </w:rPr>
        <w:t>References</w:t>
      </w:r>
    </w:p>
    <w:p>
      <w:pPr>
        <w:spacing w:after="200"/>
        <w:jc w:val="both"/>
      </w:pPr>
      <w:r>
        <w:rPr>
          <w:rFonts w:ascii="Avenir Next LT Pro" w:hAnsi="Avenir Next LT Pro"/>
          <w:b w:val="0"/>
          <w:color w:val="1C4076"/>
          <w:sz w:val="22"/>
        </w:rPr>
        <w:t>BioMar documents:</w:t>
      </w:r>
    </w:p>
    <w:p>
      <w:pPr>
        <w:spacing w:after="200"/>
        <w:jc w:val="both"/>
      </w:pPr>
      <w:r>
        <w:rPr>
          <w:rFonts w:ascii="Avenir Next LT Pro" w:hAnsi="Avenir Next LT Pro"/>
          <w:b w:val="0"/>
          <w:color w:val="1C4076"/>
          <w:sz w:val="22"/>
        </w:rPr>
        <w:t>(If no date is given, the latest issue applies)</w:t>
      </w:r>
    </w:p>
    <w:p>
      <w:pPr>
        <w:spacing w:after="200"/>
        <w:jc w:val="both"/>
      </w:pPr>
      <w:r>
        <w:rPr>
          <w:rFonts w:ascii="Avenir Next LT Pro" w:hAnsi="Avenir Next LT Pro"/>
          <w:b w:val="0"/>
          <w:color w:val="1C4076"/>
          <w:sz w:val="22"/>
        </w:rPr>
        <w:t>BioMar HSE Policy</w:t>
      </w:r>
    </w:p>
    <w:p>
      <w:pPr>
        <w:keepNext/>
        <w:spacing w:before="260" w:after="160"/>
      </w:pPr>
      <w:r>
        <w:rPr>
          <w:rFonts w:ascii="Avenir Next LT Pro" w:hAnsi="Avenir Next LT Pro"/>
          <w:b/>
          <w:color w:val="1C4076"/>
          <w:sz w:val="28"/>
        </w:rPr>
        <w:t>Changes in relation to previous issues</w:t>
      </w:r>
    </w:p>
    <w:tbl>
      <w:tblPr>
        <w:tblStyle w:val="TableGrid"/>
        <w:tblW w:type="auto" w:w="0"/>
        <w:jc w:val="center"/>
        <w:tblLook w:firstColumn="1" w:firstRow="1" w:lastColumn="0" w:lastRow="0" w:noHBand="0" w:noVBand="1" w:val="04A0"/>
      </w:tblPr>
      <w:tblGrid>
        <w:gridCol w:w="3402"/>
        <w:gridCol w:w="3402"/>
        <w:gridCol w:w="3402"/>
      </w:tblGrid>
      <w:tr>
        <w:tc>
          <w:tcPr>
            <w:tcW w:type="dxa" w:w="3402"/>
            <w:shd w:val="clear" w:fill="1C4076"/>
          </w:tcPr>
          <w:p>
            <w:r/>
            <w:r>
              <w:rPr>
                <w:rFonts w:ascii="Avenir Next LT Pro" w:hAnsi="Avenir Next LT Pro"/>
                <w:b/>
                <w:color w:val="FFFFFF"/>
                <w:sz w:val="17"/>
              </w:rPr>
              <w:t>Issue #</w:t>
            </w:r>
          </w:p>
        </w:tc>
        <w:tc>
          <w:tcPr>
            <w:tcW w:type="dxa" w:w="3402"/>
            <w:shd w:val="clear" w:fill="1C4076"/>
          </w:tcPr>
          <w:p>
            <w:r/>
            <w:r>
              <w:rPr>
                <w:rFonts w:ascii="Avenir Next LT Pro" w:hAnsi="Avenir Next LT Pro"/>
                <w:b/>
                <w:color w:val="FFFFFF"/>
                <w:sz w:val="17"/>
              </w:rPr>
              <w:t>Change</w:t>
            </w:r>
          </w:p>
        </w:tc>
        <w:tc>
          <w:tcPr>
            <w:tcW w:type="dxa" w:w="3402"/>
            <w:shd w:val="clear" w:fill="1C4076"/>
          </w:tcPr>
          <w:p>
            <w:r/>
            <w:r>
              <w:rPr>
                <w:rFonts w:ascii="Avenir Next LT Pro" w:hAnsi="Avenir Next LT Pro"/>
                <w:b/>
                <w:color w:val="FFFFFF"/>
                <w:sz w:val="17"/>
              </w:rPr>
              <w:t>Date of issue</w:t>
            </w:r>
          </w:p>
        </w:tc>
      </w:tr>
    </w:tbl>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1: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VP People, Purpose &amp; Communication</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Medical Service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