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kbieinrr.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120" w:after="80"/>
      </w:pPr>
      <w:r>
        <w:rPr>
          <w:rFonts w:ascii="Avenir Next LT Pro" w:hAnsi="Avenir Next LT Pro"/>
          <w:b/>
          <w:color w:val="1C4076"/>
          <w:sz w:val="24"/>
        </w:rPr>
        <w:t>Objectives</w:t>
      </w:r>
    </w:p>
    <w:p>
      <w:pPr>
        <w:spacing w:after="200"/>
        <w:jc w:val="both"/>
      </w:pPr>
      <w:r>
        <w:rPr>
          <w:rFonts w:ascii="Avenir Next LT Pro" w:hAnsi="Avenir Next LT Pro"/>
          <w:b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120" w:after="80"/>
      </w:pPr>
      <w:r>
        <w:rPr>
          <w:rFonts w:ascii="Avenir Next LT Pro" w:hAnsi="Avenir Next LT Pro"/>
          <w:b/>
          <w:color w:val="1C4076"/>
          <w:sz w:val="24"/>
        </w:rPr>
        <w:t>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fxi ed fee multiples</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color w:val="1C4076"/>
          <w:sz w:val="22"/>
        </w:rPr>
        <w:t>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color w:val="1C4076"/>
          <w:sz w:val="22"/>
        </w:rPr>
        <w:t>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color w:val="1C4076"/>
          <w:sz w:val="22"/>
        </w:rPr>
        <w:t>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color w:val="1C4076"/>
          <w:sz w:val="22"/>
        </w:rPr>
        <w:t>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120" w:after="80"/>
      </w:pPr>
      <w:r>
        <w:rPr>
          <w:rFonts w:ascii="Avenir Next LT Pro" w:hAnsi="Avenir Next LT Pro"/>
          <w:b/>
          <w:color w:val="1C4076"/>
          <w:sz w:val="24"/>
        </w:rPr>
        <w:t>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color w:val="1C4076"/>
          <w:sz w:val="22"/>
        </w:rPr>
        <w:t>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 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 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 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