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tdhiltgb.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keepNext/>
        <w:spacing w:before="260" w:after="160"/>
      </w:pPr>
      <w:r>
        <w:rPr>
          <w:rFonts w:ascii="Avenir Next LT Pro" w:hAnsi="Avenir Next LT Pro"/>
          <w:b/>
          <w:color w:val="1C4076"/>
          <w:sz w:val="28"/>
        </w:rPr>
        <w:t>The fundamental principles</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keepNext/>
        <w:spacing w:before="260" w:after="160"/>
      </w:pPr>
      <w:r>
        <w:rPr>
          <w:rFonts w:ascii="Avenir Next LT Pro" w:hAnsi="Avenir Next LT Pro"/>
          <w:b/>
          <w:color w:val="1C4076"/>
          <w:sz w:val="28"/>
        </w:rPr>
        <w:t>Principle 1: Fair and equal pay for all</w:t>
      </w:r>
    </w:p>
    <w:p>
      <w:pPr>
        <w:spacing w:after="200"/>
        <w:jc w:val="both"/>
      </w:pPr>
      <w:r>
        <w:rPr>
          <w:rFonts w:ascii="Avenir Next LT Pro" w:hAnsi="Avenir Next LT Pro"/>
          <w:b w:val="0"/>
          <w:color w:val="1C4076"/>
          <w:sz w:val="22"/>
        </w:rP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Our policy means that all pay decisions are based upon:</w:t>
      </w:r>
    </w:p>
    <w:p>
      <w:pPr>
        <w:pStyle w:val="ListBullet"/>
        <w:spacing w:after="80"/>
      </w:pPr>
      <w:r>
        <w:rPr>
          <w:rFonts w:ascii="Avenir Next LT Pro" w:hAnsi="Avenir Next LT Pro"/>
          <w:b w:val="0"/>
          <w:color w:val="1C4076"/>
          <w:sz w:val="22"/>
        </w:rPr>
        <w:t>Job Evaluation</w:t>
      </w:r>
    </w:p>
    <w:p>
      <w:pPr>
        <w:pStyle w:val="ListBullet"/>
        <w:spacing w:after="80"/>
      </w:pPr>
      <w:r>
        <w:rPr>
          <w:rFonts w:ascii="Avenir Next LT Pro" w:hAnsi="Avenir Next LT Pro"/>
          <w:b w:val="0"/>
          <w:color w:val="1C4076"/>
          <w:sz w:val="22"/>
        </w:rPr>
        <w:t>Local Market Practice</w:t>
      </w:r>
    </w:p>
    <w:p>
      <w:pPr>
        <w:pStyle w:val="ListBullet"/>
        <w:spacing w:after="80"/>
      </w:pPr>
      <w:r>
        <w:rPr>
          <w:rFonts w:ascii="Avenir Next LT Pro" w:hAnsi="Avenir Next LT Pro"/>
          <w:b w:val="0"/>
          <w:color w:val="1C4076"/>
          <w:sz w:val="22"/>
        </w:rPr>
        <w:t>Employee Performance</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keepNext/>
        <w:spacing w:before="260" w:after="160"/>
      </w:pPr>
      <w:r>
        <w:rPr>
          <w:rFonts w:ascii="Avenir Next LT Pro" w:hAnsi="Avenir Next LT Pro"/>
          <w:b/>
          <w:color w:val="1C4076"/>
          <w:sz w:val="28"/>
        </w:rPr>
        <w:t>Principle 2: Commitment to Living Wage</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location.</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Salary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