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3h5ywtvn.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Ensure responsible tax compliance and planning</w:t>
      </w:r>
    </w:p>
    <w:p>
      <w:pPr>
        <w:spacing w:after="200"/>
        <w:jc w:val="both"/>
      </w:pPr>
      <w:r>
        <w:rPr>
          <w:rFonts w:ascii="Avenir Next LT Pro" w:hAnsi="Avenir Next LT Pro"/>
          <w:b w:val="0"/>
          <w:color w:val="1C4076"/>
          <w:sz w:val="22"/>
        </w:rPr>
        <w:t>Uphold integrity in transfer pricing and related party transactions</w:t>
      </w:r>
    </w:p>
    <w:p>
      <w:pPr>
        <w:spacing w:after="200"/>
        <w:jc w:val="both"/>
      </w:pPr>
      <w:r>
        <w:rPr>
          <w:rFonts w:ascii="Avenir Next LT Pro" w:hAnsi="Avenir Next LT Pro"/>
          <w:b w:val="0"/>
          <w:color w:val="1C4076"/>
          <w:sz w:val="22"/>
        </w:rPr>
        <w:t>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Tax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